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7C" w:rsidRPr="00F82E76" w:rsidRDefault="00A5627C" w:rsidP="002754F3">
      <w:pPr>
        <w:tabs>
          <w:tab w:val="left" w:pos="2410"/>
        </w:tabs>
        <w:spacing w:after="30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A5627C" w:rsidRPr="0015098B" w:rsidRDefault="00A5627C" w:rsidP="00864ECC">
      <w:pPr>
        <w:tabs>
          <w:tab w:val="left" w:pos="2410"/>
        </w:tabs>
        <w:spacing w:before="120" w:after="120" w:line="240" w:lineRule="auto"/>
        <w:jc w:val="both"/>
        <w:rPr>
          <w:rFonts w:ascii="Calibri" w:hAnsi="Calibri" w:cs="Calibri"/>
          <w:sz w:val="20"/>
        </w:rPr>
      </w:pPr>
      <w:r w:rsidRPr="0015098B">
        <w:rPr>
          <w:rFonts w:ascii="Calibri" w:hAnsi="Calibri" w:cs="Calibri"/>
          <w:sz w:val="20"/>
        </w:rPr>
        <w:t xml:space="preserve">Informe </w:t>
      </w:r>
      <w:r w:rsidRPr="0015098B">
        <w:rPr>
          <w:rFonts w:ascii="Calibri" w:hAnsi="Calibri" w:cs="Calibri"/>
          <w:sz w:val="18"/>
        </w:rPr>
        <w:t>N° IAI/PSCU/</w:t>
      </w:r>
      <w:r w:rsidR="00592C34" w:rsidRPr="0015098B">
        <w:rPr>
          <w:rFonts w:ascii="Calibri" w:hAnsi="Calibri" w:cs="Calibri"/>
          <w:sz w:val="18"/>
        </w:rPr>
        <w:t>12</w:t>
      </w:r>
      <w:r w:rsidR="003C4C8A" w:rsidRPr="0015098B">
        <w:rPr>
          <w:rFonts w:ascii="Calibri" w:hAnsi="Calibri" w:cs="Calibri"/>
          <w:sz w:val="18"/>
        </w:rPr>
        <w:t>/</w:t>
      </w:r>
      <w:r w:rsidR="005F7DEC" w:rsidRPr="0015098B">
        <w:rPr>
          <w:rFonts w:ascii="Calibri" w:hAnsi="Calibri" w:cs="Calibri"/>
          <w:sz w:val="18"/>
        </w:rPr>
        <w:t>202</w:t>
      </w:r>
      <w:r w:rsidR="00592C34" w:rsidRPr="0015098B">
        <w:rPr>
          <w:rFonts w:ascii="Calibri" w:hAnsi="Calibri" w:cs="Calibri"/>
          <w:sz w:val="18"/>
        </w:rPr>
        <w:t>4</w:t>
      </w:r>
      <w:r w:rsidR="00DB5EB6" w:rsidRPr="0015098B">
        <w:rPr>
          <w:rFonts w:ascii="Calibri" w:hAnsi="Calibri" w:cs="Calibri"/>
          <w:sz w:val="18"/>
        </w:rPr>
        <w:t xml:space="preserve"> </w:t>
      </w:r>
      <w:r w:rsidR="007D3F78" w:rsidRPr="0015098B">
        <w:rPr>
          <w:rFonts w:ascii="Calibri" w:hAnsi="Calibri" w:cs="Calibri"/>
          <w:sz w:val="20"/>
        </w:rPr>
        <w:t xml:space="preserve">referente </w:t>
      </w:r>
      <w:r w:rsidRPr="0015098B">
        <w:rPr>
          <w:rFonts w:ascii="Calibri" w:hAnsi="Calibri" w:cs="Calibri"/>
          <w:sz w:val="20"/>
        </w:rPr>
        <w:t xml:space="preserve">al </w:t>
      </w:r>
      <w:r w:rsidR="007D3F78" w:rsidRPr="0015098B">
        <w:rPr>
          <w:rFonts w:ascii="Calibri" w:hAnsi="Calibri" w:cs="Calibri"/>
          <w:i/>
          <w:sz w:val="18"/>
        </w:rPr>
        <w:t>“</w:t>
      </w:r>
      <w:r w:rsidRPr="0015098B">
        <w:rPr>
          <w:rFonts w:ascii="Calibri" w:hAnsi="Calibri" w:cs="Calibri"/>
          <w:i/>
          <w:sz w:val="18"/>
        </w:rPr>
        <w:t xml:space="preserve">Informe </w:t>
      </w:r>
      <w:r w:rsidR="00737120" w:rsidRPr="0015098B">
        <w:rPr>
          <w:rFonts w:ascii="Calibri" w:hAnsi="Calibri" w:cs="Calibri"/>
          <w:i/>
          <w:sz w:val="18"/>
        </w:rPr>
        <w:t xml:space="preserve">Semestral </w:t>
      </w:r>
      <w:r w:rsidRPr="0015098B">
        <w:rPr>
          <w:rFonts w:ascii="Calibri" w:hAnsi="Calibri" w:cs="Calibri"/>
          <w:i/>
          <w:sz w:val="18"/>
        </w:rPr>
        <w:t xml:space="preserve">de Actividades </w:t>
      </w:r>
      <w:r w:rsidR="007D3F78" w:rsidRPr="0015098B">
        <w:rPr>
          <w:rFonts w:ascii="Calibri" w:hAnsi="Calibri" w:cs="Calibri"/>
          <w:i/>
          <w:sz w:val="18"/>
        </w:rPr>
        <w:t xml:space="preserve">correspondiente al periodo comprendido entre </w:t>
      </w:r>
      <w:r w:rsidRPr="0015098B">
        <w:rPr>
          <w:rFonts w:ascii="Calibri" w:hAnsi="Calibri" w:cs="Calibri"/>
          <w:i/>
          <w:sz w:val="18"/>
        </w:rPr>
        <w:t>el 01 de enero al 3</w:t>
      </w:r>
      <w:r w:rsidR="00737120" w:rsidRPr="0015098B">
        <w:rPr>
          <w:rFonts w:ascii="Calibri" w:hAnsi="Calibri" w:cs="Calibri"/>
          <w:i/>
          <w:sz w:val="18"/>
        </w:rPr>
        <w:t>0</w:t>
      </w:r>
      <w:r w:rsidRPr="0015098B">
        <w:rPr>
          <w:rFonts w:ascii="Calibri" w:hAnsi="Calibri" w:cs="Calibri"/>
          <w:i/>
          <w:sz w:val="18"/>
        </w:rPr>
        <w:t xml:space="preserve"> </w:t>
      </w:r>
      <w:r w:rsidR="00F764D0" w:rsidRPr="0015098B">
        <w:rPr>
          <w:rFonts w:ascii="Calibri" w:hAnsi="Calibri" w:cs="Calibri"/>
          <w:i/>
          <w:sz w:val="18"/>
        </w:rPr>
        <w:t xml:space="preserve">de </w:t>
      </w:r>
      <w:r w:rsidR="005F7DEC" w:rsidRPr="0015098B">
        <w:rPr>
          <w:rFonts w:ascii="Calibri" w:hAnsi="Calibri" w:cs="Calibri"/>
          <w:i/>
          <w:sz w:val="18"/>
        </w:rPr>
        <w:t>junio de 202</w:t>
      </w:r>
      <w:r w:rsidR="00DE620A" w:rsidRPr="0015098B">
        <w:rPr>
          <w:rFonts w:ascii="Calibri" w:hAnsi="Calibri" w:cs="Calibri"/>
          <w:i/>
          <w:sz w:val="18"/>
        </w:rPr>
        <w:t>4</w:t>
      </w:r>
      <w:r w:rsidR="007D3F78" w:rsidRPr="0015098B">
        <w:rPr>
          <w:rFonts w:ascii="Calibri" w:hAnsi="Calibri" w:cs="Calibri"/>
          <w:i/>
          <w:sz w:val="18"/>
        </w:rPr>
        <w:t>”</w:t>
      </w:r>
      <w:r w:rsidR="00F41F6C" w:rsidRPr="0015098B">
        <w:rPr>
          <w:rFonts w:ascii="Calibri" w:hAnsi="Calibri" w:cs="Calibri"/>
          <w:sz w:val="20"/>
        </w:rPr>
        <w:t xml:space="preserve">, </w:t>
      </w:r>
      <w:r w:rsidR="007D3F78" w:rsidRPr="0015098B">
        <w:rPr>
          <w:rFonts w:ascii="Calibri" w:hAnsi="Calibri" w:cs="Calibri"/>
          <w:sz w:val="20"/>
        </w:rPr>
        <w:t>elaborado y emitido</w:t>
      </w:r>
      <w:r w:rsidRPr="0015098B">
        <w:rPr>
          <w:rFonts w:ascii="Calibri" w:hAnsi="Calibri" w:cs="Calibri"/>
          <w:sz w:val="20"/>
        </w:rPr>
        <w:t xml:space="preserve"> en cumplimiento de la</w:t>
      </w:r>
      <w:r w:rsidR="007D3F78" w:rsidRPr="0015098B">
        <w:rPr>
          <w:rFonts w:ascii="Calibri" w:hAnsi="Calibri" w:cs="Calibri"/>
          <w:sz w:val="20"/>
        </w:rPr>
        <w:t xml:space="preserve"> Resolución N°</w:t>
      </w:r>
      <w:r w:rsidRPr="0015098B">
        <w:rPr>
          <w:rFonts w:ascii="Calibri" w:hAnsi="Calibri" w:cs="Calibri"/>
          <w:sz w:val="20"/>
        </w:rPr>
        <w:t xml:space="preserve"> </w:t>
      </w:r>
      <w:r w:rsidR="007D3F78" w:rsidRPr="0015098B">
        <w:rPr>
          <w:rFonts w:cstheme="minorHAnsi"/>
          <w:sz w:val="18"/>
          <w:lang w:val="es-ES_tradnl"/>
        </w:rPr>
        <w:t>CGE/055/2022</w:t>
      </w:r>
      <w:r w:rsidR="007D3F78" w:rsidRPr="0015098B">
        <w:rPr>
          <w:rFonts w:cstheme="minorHAnsi"/>
          <w:sz w:val="20"/>
          <w:lang w:val="es-ES_tradnl"/>
        </w:rPr>
        <w:t xml:space="preserve"> de fecha 20 de julio de 2022 que aprueba el </w:t>
      </w:r>
      <w:r w:rsidR="007D3F78" w:rsidRPr="0015098B">
        <w:rPr>
          <w:rFonts w:cstheme="minorHAnsi"/>
          <w:i/>
          <w:sz w:val="18"/>
          <w:lang w:val="es-ES_tradnl"/>
        </w:rPr>
        <w:t>“Instructivo para la emisión del Informe Semestral de Actividades de las Unidades de Auditoría Interna del Sector Público”</w:t>
      </w:r>
      <w:r w:rsidRPr="0015098B">
        <w:rPr>
          <w:rFonts w:ascii="Calibri" w:hAnsi="Calibri" w:cs="Calibri"/>
          <w:sz w:val="20"/>
        </w:rPr>
        <w:t>, emitid</w:t>
      </w:r>
      <w:r w:rsidR="007D3F78" w:rsidRPr="0015098B">
        <w:rPr>
          <w:rFonts w:ascii="Calibri" w:hAnsi="Calibri" w:cs="Calibri"/>
          <w:sz w:val="20"/>
        </w:rPr>
        <w:t>a</w:t>
      </w:r>
      <w:r w:rsidRPr="0015098B">
        <w:rPr>
          <w:rFonts w:ascii="Calibri" w:hAnsi="Calibri" w:cs="Calibri"/>
          <w:sz w:val="20"/>
        </w:rPr>
        <w:t xml:space="preserve"> por la Contraloría General </w:t>
      </w:r>
      <w:r w:rsidR="007D3F78" w:rsidRPr="0015098B">
        <w:rPr>
          <w:rFonts w:ascii="Calibri" w:hAnsi="Calibri" w:cs="Calibri"/>
          <w:sz w:val="20"/>
        </w:rPr>
        <w:t>del Estado</w:t>
      </w:r>
      <w:r w:rsidRPr="0015098B">
        <w:rPr>
          <w:rFonts w:ascii="Calibri" w:hAnsi="Calibri" w:cs="Calibri"/>
          <w:sz w:val="20"/>
        </w:rPr>
        <w:t>.</w:t>
      </w:r>
    </w:p>
    <w:p w:rsidR="00A5627C" w:rsidRPr="0015098B" w:rsidRDefault="00DE620A" w:rsidP="00864ECC">
      <w:pPr>
        <w:spacing w:before="120" w:after="120"/>
        <w:jc w:val="both"/>
        <w:rPr>
          <w:rFonts w:cs="Calibri"/>
          <w:color w:val="FF0000"/>
          <w:sz w:val="18"/>
        </w:rPr>
      </w:pPr>
      <w:r w:rsidRPr="0015098B">
        <w:rPr>
          <w:rFonts w:cs="Calibri"/>
          <w:sz w:val="20"/>
        </w:rPr>
        <w:t xml:space="preserve">La Unidad de Auditoría Interna, en cumplimiento del Comunicado CGE/15/2023 de fecha 02 de agosto de 2023 emitida por la Contraloría General del Estado, referido a la </w:t>
      </w:r>
      <w:r w:rsidRPr="0015098B">
        <w:rPr>
          <w:rFonts w:cs="Calibri"/>
          <w:i/>
          <w:sz w:val="18"/>
        </w:rPr>
        <w:t>“Programación de Actividades correspondiente a la Gestión 2024 Unidades de Auditoría Interna de la Entidades y Empresas Públicas”</w:t>
      </w:r>
      <w:r w:rsidRPr="0015098B">
        <w:rPr>
          <w:rFonts w:cs="Calibri"/>
          <w:sz w:val="20"/>
        </w:rPr>
        <w:t xml:space="preserve">, elaboró su Programa Operativo Anual correspondiente a la gestión 2024; mismo que fue remitido a la Gerencia Departamental de Chuquisaca de la Contraloría General del Estado, mediante nota con cite: </w:t>
      </w:r>
      <w:r w:rsidRPr="0015098B">
        <w:rPr>
          <w:rFonts w:cs="Calibri"/>
          <w:sz w:val="18"/>
        </w:rPr>
        <w:t>PSCU/UAI-048/23</w:t>
      </w:r>
      <w:r w:rsidRPr="0015098B">
        <w:rPr>
          <w:rFonts w:cs="Calibri"/>
          <w:sz w:val="20"/>
        </w:rPr>
        <w:t xml:space="preserve"> de fecha 28 de septiembre.</w:t>
      </w:r>
    </w:p>
    <w:p w:rsidR="00166730" w:rsidRPr="00592C34" w:rsidRDefault="0083383A" w:rsidP="001265EB">
      <w:pPr>
        <w:spacing w:before="120" w:after="240"/>
        <w:jc w:val="both"/>
        <w:rPr>
          <w:rFonts w:cs="Calibri"/>
          <w:color w:val="FF0000"/>
        </w:rPr>
      </w:pPr>
      <w:r w:rsidRPr="0015098B">
        <w:rPr>
          <w:rFonts w:cs="Calibri"/>
          <w:sz w:val="20"/>
        </w:rPr>
        <w:t xml:space="preserve">En relación al Programa Operativo Anual correspondiente a la Gestión 2024 y sobre la base de la información contenida en </w:t>
      </w:r>
      <w:r w:rsidRPr="0015098B">
        <w:rPr>
          <w:rFonts w:cs="Calibri"/>
          <w:b/>
          <w:sz w:val="20"/>
        </w:rPr>
        <w:t>Anexo N° 1</w:t>
      </w:r>
      <w:r w:rsidRPr="0015098B">
        <w:rPr>
          <w:rFonts w:cs="Calibri"/>
          <w:sz w:val="20"/>
        </w:rPr>
        <w:t xml:space="preserve">, se afirma que de tres </w:t>
      </w:r>
      <w:r w:rsidRPr="0015098B">
        <w:rPr>
          <w:rFonts w:cs="Calibri"/>
          <w:sz w:val="18"/>
        </w:rPr>
        <w:t>(3)</w:t>
      </w:r>
      <w:r w:rsidRPr="0015098B">
        <w:rPr>
          <w:rFonts w:cs="Calibri"/>
          <w:sz w:val="20"/>
        </w:rPr>
        <w:t xml:space="preserve"> exámenes programados para su conclusión en el primer semestre de la gestión 2024, se terminaron dos </w:t>
      </w:r>
      <w:r w:rsidRPr="0015098B">
        <w:rPr>
          <w:rFonts w:cs="Calibri"/>
          <w:sz w:val="18"/>
        </w:rPr>
        <w:t>(2)</w:t>
      </w:r>
      <w:r w:rsidRPr="0015098B">
        <w:rPr>
          <w:rFonts w:cs="Calibri"/>
          <w:sz w:val="20"/>
        </w:rPr>
        <w:t xml:space="preserve">, por cuanto el tiempo programado fue insumido en la emisión de seis </w:t>
      </w:r>
      <w:r w:rsidRPr="0015098B">
        <w:rPr>
          <w:rFonts w:cs="Calibri"/>
          <w:sz w:val="18"/>
        </w:rPr>
        <w:t>(6)</w:t>
      </w:r>
      <w:r w:rsidRPr="0015098B">
        <w:rPr>
          <w:rFonts w:cs="Calibri"/>
          <w:sz w:val="20"/>
        </w:rPr>
        <w:t xml:space="preserve"> informes de Relevamiento de Información Específica efectuados a requerimiento de la Contraloría General del Estado; a continuación se detalla:</w:t>
      </w:r>
    </w:p>
    <w:tbl>
      <w:tblPr>
        <w:tblW w:w="92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879"/>
        <w:gridCol w:w="567"/>
        <w:gridCol w:w="963"/>
        <w:gridCol w:w="724"/>
      </w:tblGrid>
      <w:tr w:rsidR="0083383A" w:rsidRPr="0015098B" w:rsidTr="00E21EBC">
        <w:trPr>
          <w:tblHeader/>
          <w:jc w:val="right"/>
        </w:trPr>
        <w:tc>
          <w:tcPr>
            <w:tcW w:w="4962" w:type="dxa"/>
            <w:vMerge w:val="restart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ACTIVIDADES</w:t>
            </w:r>
          </w:p>
        </w:tc>
        <w:tc>
          <w:tcPr>
            <w:tcW w:w="2013" w:type="dxa"/>
            <w:gridSpan w:val="2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INFORME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b/>
                <w:sz w:val="11"/>
                <w:szCs w:val="11"/>
              </w:rPr>
            </w:pPr>
            <w:r w:rsidRPr="0015098B">
              <w:rPr>
                <w:rFonts w:cs="Calibri"/>
                <w:b/>
                <w:sz w:val="11"/>
                <w:szCs w:val="11"/>
              </w:rPr>
              <w:t>ESTADO DEL EXAMEN</w:t>
            </w:r>
          </w:p>
        </w:tc>
        <w:tc>
          <w:tcPr>
            <w:tcW w:w="1687" w:type="dxa"/>
            <w:gridSpan w:val="2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REMISIÓN CGE</w:t>
            </w:r>
          </w:p>
        </w:tc>
      </w:tr>
      <w:tr w:rsidR="0083383A" w:rsidRPr="0015098B" w:rsidTr="00E21EBC">
        <w:trPr>
          <w:trHeight w:val="323"/>
          <w:tblHeader/>
          <w:jc w:val="right"/>
        </w:trPr>
        <w:tc>
          <w:tcPr>
            <w:tcW w:w="4962" w:type="dxa"/>
            <w:vMerge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Nº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FECHA</w:t>
            </w:r>
          </w:p>
        </w:tc>
        <w:tc>
          <w:tcPr>
            <w:tcW w:w="567" w:type="dxa"/>
            <w:vMerge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Nº DE NOTA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FECHA</w:t>
            </w:r>
          </w:p>
        </w:tc>
      </w:tr>
      <w:tr w:rsidR="0083383A" w:rsidRPr="0015098B" w:rsidTr="0015098B">
        <w:trPr>
          <w:cantSplit/>
          <w:trHeight w:val="187"/>
          <w:jc w:val="right"/>
        </w:trPr>
        <w:tc>
          <w:tcPr>
            <w:tcW w:w="9229" w:type="dxa"/>
            <w:gridSpan w:val="6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22"/>
              <w:rPr>
                <w:rFonts w:cs="Calibri"/>
                <w:b/>
                <w:sz w:val="14"/>
                <w:szCs w:val="14"/>
                <w:lang w:val="en-US"/>
              </w:rPr>
            </w:pPr>
            <w:r w:rsidRPr="0015098B">
              <w:rPr>
                <w:rFonts w:cs="Calibri"/>
                <w:b/>
                <w:sz w:val="14"/>
                <w:szCs w:val="14"/>
                <w:lang w:val="en-US"/>
              </w:rPr>
              <w:t>AUDITORIAS PROGRAMADAS</w:t>
            </w:r>
          </w:p>
        </w:tc>
      </w:tr>
      <w:tr w:rsidR="0083383A" w:rsidRPr="0015098B" w:rsidTr="00E21EBC">
        <w:trPr>
          <w:cantSplit/>
          <w:trHeight w:val="403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Auditoría sobre la Confiabilidad de los Registros  y  Estados Financieros del Proyecto Sucre Ciudad Universitaria, del periodo comprendido entre el 01 de enero al 31 de diciembre de 2023 – Estados Financieros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IAI/PSCU/02/2024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27/02/24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23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PSCU/UAI-026/24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22" w:right="-93"/>
              <w:jc w:val="center"/>
              <w:rPr>
                <w:rFonts w:cs="Calibri"/>
                <w:sz w:val="14"/>
                <w:szCs w:val="14"/>
                <w:lang w:val="en-US"/>
              </w:rPr>
            </w:pPr>
            <w:r w:rsidRPr="0015098B">
              <w:rPr>
                <w:rFonts w:cs="Calibri"/>
                <w:sz w:val="14"/>
                <w:szCs w:val="14"/>
                <w:lang w:val="en-US"/>
              </w:rPr>
              <w:t>27/02/24</w:t>
            </w:r>
          </w:p>
        </w:tc>
      </w:tr>
      <w:tr w:rsidR="0083383A" w:rsidRPr="0015098B" w:rsidTr="00E21EBC">
        <w:trPr>
          <w:cantSplit/>
          <w:trHeight w:val="682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 xml:space="preserve">Seguimiento al cumplimiento de las recomendaciones efectuadas en el Informe N° IAI/PSCU/03/2023 referente a la </w:t>
            </w:r>
            <w:r w:rsidRPr="0015098B">
              <w:rPr>
                <w:rFonts w:cs="Calibri"/>
                <w:i/>
                <w:sz w:val="14"/>
                <w:szCs w:val="14"/>
              </w:rPr>
              <w:t>"Auditoría sobre la Confiabilidad de los Registros y Estados Financieros del Proyecto Sucre Ciudad Universitaria, del periodo comprendido entre el 01 de enero al 31 de diciembre de 2022"</w:t>
            </w:r>
            <w:r w:rsidRPr="0015098B">
              <w:rPr>
                <w:rFonts w:cs="Calibri"/>
                <w:sz w:val="14"/>
                <w:szCs w:val="14"/>
              </w:rPr>
              <w:t xml:space="preserve"> (Tres recomendaciones en lo que corresponde a Estados Financieros)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IAI/PSCU/08/2024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28/06/24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23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*</w:t>
            </w:r>
          </w:p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PSCU/UAI-052/24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28/06/24</w:t>
            </w:r>
          </w:p>
        </w:tc>
      </w:tr>
      <w:tr w:rsidR="0083383A" w:rsidRPr="0015098B" w:rsidTr="00E21EBC">
        <w:trPr>
          <w:cantSplit/>
          <w:trHeight w:val="619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 xml:space="preserve">Seguimiento al cumplimiento de las recomendaciones efectuadas en el Informe N° IAI/PSCU/01/2023 referente a la </w:t>
            </w:r>
            <w:r w:rsidRPr="0015098B">
              <w:rPr>
                <w:rFonts w:cs="Calibri"/>
                <w:i/>
                <w:sz w:val="14"/>
                <w:szCs w:val="14"/>
              </w:rPr>
              <w:t>"Auditoría sobre la Confiabilidad de los Registros y Estados Financieros del Proyecto Sucre Ciudad Universitaria, del periodo comprendido entre el 01 de enero al 31 de diciembre de 2022"</w:t>
            </w:r>
            <w:r w:rsidRPr="0015098B">
              <w:rPr>
                <w:rFonts w:cs="Calibri"/>
                <w:sz w:val="14"/>
                <w:szCs w:val="14"/>
              </w:rPr>
              <w:t xml:space="preserve"> (Diez recomendaciones en lo que corresponde a Registros)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IAI/PSCU/07/2024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**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23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En proceso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  <w:lang w:val="es-ES"/>
              </w:rPr>
            </w:pP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22" w:right="-93"/>
              <w:jc w:val="center"/>
              <w:rPr>
                <w:rFonts w:cs="Calibri"/>
                <w:sz w:val="14"/>
                <w:szCs w:val="14"/>
                <w:lang w:val="es-ES"/>
              </w:rPr>
            </w:pPr>
          </w:p>
        </w:tc>
      </w:tr>
      <w:tr w:rsidR="0083383A" w:rsidRPr="0015098B" w:rsidTr="00E21EBC">
        <w:trPr>
          <w:cantSplit/>
          <w:trHeight w:val="289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Auditoría sobre la Confiabilidad de los Registros  y Estados Financieros del Proyecto Sucre Ciudad Universitaria, del periodo comprendido entre el 01 de enero al 31 de diciembre de 2024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¥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23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En proceso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  <w:lang w:val="es-ES"/>
              </w:rPr>
            </w:pP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22" w:right="-93"/>
              <w:jc w:val="center"/>
              <w:rPr>
                <w:rFonts w:cs="Calibri"/>
                <w:sz w:val="14"/>
                <w:szCs w:val="14"/>
                <w:lang w:val="es-ES"/>
              </w:rPr>
            </w:pPr>
          </w:p>
        </w:tc>
      </w:tr>
      <w:tr w:rsidR="0083383A" w:rsidRPr="0015098B" w:rsidTr="0015098B">
        <w:trPr>
          <w:cantSplit/>
          <w:trHeight w:val="185"/>
          <w:jc w:val="right"/>
        </w:trPr>
        <w:tc>
          <w:tcPr>
            <w:tcW w:w="9229" w:type="dxa"/>
            <w:gridSpan w:val="6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34" w:right="-108"/>
              <w:rPr>
                <w:rFonts w:cs="Calibri"/>
                <w:b/>
                <w:sz w:val="14"/>
                <w:szCs w:val="14"/>
              </w:rPr>
            </w:pPr>
            <w:r w:rsidRPr="0015098B">
              <w:rPr>
                <w:rFonts w:cs="Calibri"/>
                <w:b/>
                <w:sz w:val="14"/>
                <w:szCs w:val="14"/>
              </w:rPr>
              <w:t>AUDITORÍAS NO PROGRAMADAS</w:t>
            </w:r>
          </w:p>
        </w:tc>
      </w:tr>
      <w:tr w:rsidR="0083383A" w:rsidRPr="0015098B" w:rsidTr="00E21EBC">
        <w:trPr>
          <w:cantSplit/>
          <w:trHeight w:val="278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Relevamiento de Información Específica sobre la cuenta contable “</w:t>
            </w:r>
            <w:r w:rsidRPr="0015098B">
              <w:rPr>
                <w:rFonts w:cs="Calibri"/>
                <w:i/>
                <w:sz w:val="14"/>
                <w:szCs w:val="14"/>
              </w:rPr>
              <w:t>Transferencia y Donaciones de Capital”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IAI/PSCU/03/2024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PSCU/UAI-004/24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</w:tr>
      <w:tr w:rsidR="0083383A" w:rsidRPr="0015098B" w:rsidTr="00E21EBC">
        <w:trPr>
          <w:cantSplit/>
          <w:trHeight w:val="369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Relevamiento de Información Específica sobre los pagos realizados por Beneficios Sociales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IAI/PSCU/04/2024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PSCU/UAI-006/24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</w:tr>
      <w:tr w:rsidR="0083383A" w:rsidRPr="0015098B" w:rsidTr="00E21EBC">
        <w:trPr>
          <w:cantSplit/>
          <w:trHeight w:val="417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 xml:space="preserve">Relevamiento de Información Específica sobre las partidas presupuestarias </w:t>
            </w:r>
            <w:r w:rsidRPr="0015098B">
              <w:rPr>
                <w:rFonts w:cs="Calibri"/>
                <w:i/>
                <w:sz w:val="14"/>
                <w:szCs w:val="14"/>
              </w:rPr>
              <w:t>“42230 Otras Construcciones y Mejoras de Bienes Públicos de Dominio Privado”</w:t>
            </w:r>
            <w:r w:rsidRPr="0015098B">
              <w:rPr>
                <w:rFonts w:cs="Calibri"/>
                <w:sz w:val="14"/>
                <w:szCs w:val="14"/>
              </w:rPr>
              <w:t xml:space="preserve"> y </w:t>
            </w:r>
            <w:r w:rsidRPr="0015098B">
              <w:rPr>
                <w:rFonts w:cs="Calibri"/>
                <w:i/>
                <w:sz w:val="14"/>
                <w:szCs w:val="14"/>
              </w:rPr>
              <w:t>“42310 Construcciones y Mejoras de Bienes de Dominio Público”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IAI/PSCU/05/2024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PSCU/UAI-008/24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15/01/24</w:t>
            </w:r>
          </w:p>
        </w:tc>
      </w:tr>
      <w:tr w:rsidR="0083383A" w:rsidRPr="0015098B" w:rsidTr="00E21EBC">
        <w:trPr>
          <w:cantSplit/>
          <w:trHeight w:val="481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Relevamiento de Información Específica sobre la elaboración e implementación del Plan Institucional de Seguridad a la Información (PISI) del Proyecto Sucre Ciud</w:t>
            </w:r>
            <w:bookmarkStart w:id="0" w:name="_GoBack"/>
            <w:bookmarkEnd w:id="0"/>
            <w:r w:rsidRPr="0015098B">
              <w:rPr>
                <w:rFonts w:cs="Calibri"/>
                <w:sz w:val="14"/>
                <w:szCs w:val="14"/>
              </w:rPr>
              <w:t xml:space="preserve">ad Universitaria 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IAI/PSCU/09/2024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17/05/24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PSCU/UAI-041/24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17/05/24</w:t>
            </w:r>
          </w:p>
        </w:tc>
      </w:tr>
      <w:tr w:rsidR="0083383A" w:rsidRPr="0015098B" w:rsidTr="00E21EBC">
        <w:trPr>
          <w:cantSplit/>
          <w:trHeight w:val="430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 xml:space="preserve">Relevamiento de Información Específica sobre la elaboración y Ejecución del Plan de Implementación de Software Libre y Estándares Abiertos (PISLEA) del Proyecto Sucre Ciudad Universitaria 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IAI/PSCU/10/2024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17/05/24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PSCU/UAI-043/24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17/05/24</w:t>
            </w:r>
          </w:p>
        </w:tc>
      </w:tr>
      <w:tr w:rsidR="0083383A" w:rsidRPr="0015098B" w:rsidTr="00E21EBC">
        <w:trPr>
          <w:cantSplit/>
          <w:trHeight w:val="409"/>
          <w:jc w:val="right"/>
        </w:trPr>
        <w:tc>
          <w:tcPr>
            <w:tcW w:w="4962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 xml:space="preserve">Relevamiento de Información Específica sobre el cumplimiento de las Resoluciones N° CGE/112/2022 y N° CGE/114/2022 ambos de fecha 21 de diciembre de 2022 </w:t>
            </w:r>
          </w:p>
        </w:tc>
        <w:tc>
          <w:tcPr>
            <w:tcW w:w="1134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17" w:right="-77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IAI/PSCU/11/2024</w:t>
            </w:r>
          </w:p>
        </w:tc>
        <w:tc>
          <w:tcPr>
            <w:tcW w:w="879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28/06/24</w:t>
            </w:r>
          </w:p>
        </w:tc>
        <w:tc>
          <w:tcPr>
            <w:tcW w:w="567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08" w:right="-79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Emitido</w:t>
            </w:r>
          </w:p>
        </w:tc>
        <w:tc>
          <w:tcPr>
            <w:tcW w:w="963" w:type="dxa"/>
            <w:vAlign w:val="center"/>
          </w:tcPr>
          <w:p w:rsidR="0083383A" w:rsidRPr="0015098B" w:rsidRDefault="0083383A" w:rsidP="00E94510">
            <w:pPr>
              <w:spacing w:before="20" w:after="20" w:line="240" w:lineRule="auto"/>
              <w:ind w:left="-18" w:right="-18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PSCU/UAI-051/24</w:t>
            </w:r>
          </w:p>
        </w:tc>
        <w:tc>
          <w:tcPr>
            <w:tcW w:w="724" w:type="dxa"/>
            <w:vAlign w:val="center"/>
          </w:tcPr>
          <w:p w:rsidR="0083383A" w:rsidRPr="0015098B" w:rsidRDefault="0083383A" w:rsidP="0015098B">
            <w:pPr>
              <w:spacing w:before="20" w:after="20" w:line="240" w:lineRule="auto"/>
              <w:ind w:left="-108" w:right="-93"/>
              <w:jc w:val="center"/>
              <w:rPr>
                <w:rFonts w:cs="Calibri"/>
                <w:sz w:val="14"/>
                <w:szCs w:val="14"/>
              </w:rPr>
            </w:pPr>
            <w:r w:rsidRPr="0015098B">
              <w:rPr>
                <w:rFonts w:cs="Calibri"/>
                <w:sz w:val="14"/>
                <w:szCs w:val="14"/>
              </w:rPr>
              <w:t>28/06/24</w:t>
            </w:r>
          </w:p>
        </w:tc>
      </w:tr>
    </w:tbl>
    <w:p w:rsidR="0083383A" w:rsidRPr="0015098B" w:rsidRDefault="0083383A" w:rsidP="00E94510">
      <w:pPr>
        <w:widowControl w:val="0"/>
        <w:overflowPunct w:val="0"/>
        <w:autoSpaceDE w:val="0"/>
        <w:autoSpaceDN w:val="0"/>
        <w:adjustRightInd w:val="0"/>
        <w:spacing w:before="60" w:after="0" w:line="271" w:lineRule="auto"/>
        <w:ind w:left="284" w:hanging="284"/>
        <w:jc w:val="both"/>
        <w:textAlignment w:val="baseline"/>
        <w:rPr>
          <w:rFonts w:cs="Calibri"/>
          <w:sz w:val="11"/>
          <w:szCs w:val="11"/>
        </w:rPr>
      </w:pPr>
      <w:r w:rsidRPr="0015098B">
        <w:rPr>
          <w:rFonts w:cs="Calibri"/>
          <w:b/>
          <w:sz w:val="11"/>
          <w:szCs w:val="11"/>
        </w:rPr>
        <w:t xml:space="preserve">* </w:t>
      </w:r>
      <w:r w:rsidRPr="0015098B">
        <w:rPr>
          <w:rFonts w:cs="Calibri"/>
          <w:b/>
          <w:sz w:val="11"/>
          <w:szCs w:val="11"/>
        </w:rPr>
        <w:tab/>
      </w:r>
      <w:r w:rsidRPr="0015098B">
        <w:rPr>
          <w:rFonts w:cs="Calibri"/>
          <w:sz w:val="11"/>
          <w:szCs w:val="11"/>
        </w:rPr>
        <w:t xml:space="preserve">Informe remitido solo a la Máxima Autoridad Ejecutiva de la Entidad </w:t>
      </w:r>
    </w:p>
    <w:p w:rsidR="0083383A" w:rsidRPr="0015098B" w:rsidRDefault="0083383A" w:rsidP="0083383A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84" w:hanging="283"/>
        <w:jc w:val="both"/>
        <w:textAlignment w:val="baseline"/>
        <w:rPr>
          <w:rFonts w:ascii="Calibri" w:hAnsi="Calibri" w:cs="Calibri"/>
          <w:sz w:val="11"/>
          <w:szCs w:val="11"/>
        </w:rPr>
      </w:pPr>
      <w:r w:rsidRPr="0015098B">
        <w:rPr>
          <w:rFonts w:cs="Calibri"/>
          <w:b/>
          <w:sz w:val="11"/>
          <w:szCs w:val="11"/>
        </w:rPr>
        <w:t>**</w:t>
      </w:r>
      <w:r w:rsidRPr="0015098B">
        <w:rPr>
          <w:rFonts w:cs="Calibri"/>
          <w:b/>
          <w:sz w:val="11"/>
          <w:szCs w:val="11"/>
        </w:rPr>
        <w:tab/>
      </w:r>
      <w:r w:rsidRPr="0015098B">
        <w:rPr>
          <w:rFonts w:ascii="Calibri" w:hAnsi="Calibri" w:cs="Calibri"/>
          <w:sz w:val="11"/>
          <w:szCs w:val="11"/>
        </w:rPr>
        <w:t>A requerimiento de la Contraloría General del Estado</w:t>
      </w:r>
      <w:r w:rsidRPr="0015098B">
        <w:rPr>
          <w:rFonts w:cs="Calibri"/>
          <w:sz w:val="11"/>
          <w:szCs w:val="11"/>
        </w:rPr>
        <w:t>,</w:t>
      </w:r>
      <w:r w:rsidRPr="0015098B">
        <w:rPr>
          <w:rFonts w:ascii="Calibri" w:hAnsi="Calibri" w:cs="Calibri"/>
          <w:sz w:val="11"/>
          <w:szCs w:val="11"/>
        </w:rPr>
        <w:t xml:space="preserve"> la Unidad de Auditoría Interna efectuó seis (6) relevamientos de información específica, no previstos en el POA 2024</w:t>
      </w:r>
    </w:p>
    <w:p w:rsidR="00E94510" w:rsidRDefault="0083383A" w:rsidP="00E94510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84" w:hanging="283"/>
        <w:jc w:val="both"/>
        <w:textAlignment w:val="baseline"/>
        <w:rPr>
          <w:rFonts w:cs="Calibri"/>
          <w:sz w:val="10"/>
          <w:szCs w:val="10"/>
        </w:rPr>
      </w:pPr>
      <w:proofErr w:type="gramStart"/>
      <w:r w:rsidRPr="0015098B">
        <w:rPr>
          <w:rFonts w:cs="Calibri"/>
          <w:sz w:val="11"/>
          <w:szCs w:val="11"/>
        </w:rPr>
        <w:t xml:space="preserve">¥ </w:t>
      </w:r>
      <w:r w:rsidRPr="0015098B">
        <w:rPr>
          <w:rFonts w:cs="Calibri"/>
          <w:sz w:val="11"/>
          <w:szCs w:val="11"/>
        </w:rPr>
        <w:tab/>
        <w:t>Esta</w:t>
      </w:r>
      <w:proofErr w:type="gramEnd"/>
      <w:r w:rsidRPr="0015098B">
        <w:rPr>
          <w:rFonts w:cs="Calibri"/>
          <w:sz w:val="11"/>
          <w:szCs w:val="11"/>
        </w:rPr>
        <w:t xml:space="preserve"> previsto ejecutarse durante la gestión 2024 (de abril a diciembre) en consideración de las </w:t>
      </w:r>
      <w:r w:rsidRPr="0015098B">
        <w:rPr>
          <w:rFonts w:cs="Calibri"/>
          <w:i/>
          <w:sz w:val="11"/>
          <w:szCs w:val="11"/>
        </w:rPr>
        <w:t>“Normas de Auditoría de Confiabilidad de los Registros y Estados Financieros”</w:t>
      </w:r>
      <w:r w:rsidRPr="0015098B">
        <w:rPr>
          <w:rFonts w:cs="Calibri"/>
          <w:sz w:val="11"/>
          <w:szCs w:val="11"/>
        </w:rPr>
        <w:t xml:space="preserve"> aprobadas mediante Resolución: CGE/073/2021 en fecha 28 de octubre de 2021</w:t>
      </w:r>
    </w:p>
    <w:p w:rsidR="009758AF" w:rsidRPr="00E94510" w:rsidRDefault="004E6664" w:rsidP="0015098B">
      <w:pPr>
        <w:widowControl w:val="0"/>
        <w:overflowPunct w:val="0"/>
        <w:autoSpaceDE w:val="0"/>
        <w:autoSpaceDN w:val="0"/>
        <w:adjustRightInd w:val="0"/>
        <w:spacing w:before="240" w:after="0" w:line="271" w:lineRule="auto"/>
        <w:ind w:left="284" w:hanging="283"/>
        <w:jc w:val="both"/>
        <w:textAlignment w:val="baseline"/>
        <w:rPr>
          <w:rFonts w:cs="Calibri"/>
          <w:sz w:val="10"/>
          <w:szCs w:val="10"/>
        </w:rPr>
      </w:pPr>
      <w:r w:rsidRPr="00D24E46">
        <w:rPr>
          <w:sz w:val="14"/>
        </w:rPr>
        <w:t xml:space="preserve">Sucre, </w:t>
      </w:r>
      <w:r w:rsidR="00737120" w:rsidRPr="00D24E46">
        <w:rPr>
          <w:sz w:val="14"/>
        </w:rPr>
        <w:t>julio</w:t>
      </w:r>
      <w:r w:rsidR="00F764D0" w:rsidRPr="00D24E46">
        <w:rPr>
          <w:sz w:val="14"/>
        </w:rPr>
        <w:t xml:space="preserve"> </w:t>
      </w:r>
      <w:r w:rsidR="00315CDC">
        <w:rPr>
          <w:sz w:val="14"/>
        </w:rPr>
        <w:t>de 2024</w:t>
      </w:r>
    </w:p>
    <w:sectPr w:rsidR="009758AF" w:rsidRPr="00E94510" w:rsidSect="0015098B">
      <w:headerReference w:type="default" r:id="rId7"/>
      <w:pgSz w:w="12240" w:h="15840" w:code="1"/>
      <w:pgMar w:top="1701" w:right="1418" w:bottom="130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AF" w:rsidRDefault="00E258AF" w:rsidP="00463ECD">
      <w:pPr>
        <w:spacing w:after="0" w:line="240" w:lineRule="auto"/>
      </w:pPr>
      <w:r>
        <w:separator/>
      </w:r>
    </w:p>
  </w:endnote>
  <w:endnote w:type="continuationSeparator" w:id="0">
    <w:p w:rsidR="00E258AF" w:rsidRDefault="00E258AF" w:rsidP="0046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AF" w:rsidRDefault="00E258AF" w:rsidP="00463ECD">
      <w:pPr>
        <w:spacing w:after="0" w:line="240" w:lineRule="auto"/>
      </w:pPr>
      <w:r>
        <w:separator/>
      </w:r>
    </w:p>
  </w:footnote>
  <w:footnote w:type="continuationSeparator" w:id="0">
    <w:p w:rsidR="00E258AF" w:rsidRDefault="00E258AF" w:rsidP="0046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7C" w:rsidRDefault="00A5627C" w:rsidP="00A5627C">
    <w:pPr>
      <w:pStyle w:val="Piedepgina"/>
      <w:rPr>
        <w:b/>
        <w:sz w:val="18"/>
        <w:szCs w:val="18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5680" behindDoc="0" locked="0" layoutInCell="1" allowOverlap="1" wp14:anchorId="5B16A101" wp14:editId="0E2B7916">
          <wp:simplePos x="0" y="0"/>
          <wp:positionH relativeFrom="column">
            <wp:posOffset>40856</wp:posOffset>
          </wp:positionH>
          <wp:positionV relativeFrom="paragraph">
            <wp:posOffset>-207286</wp:posOffset>
          </wp:positionV>
          <wp:extent cx="405442" cy="311674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2" cy="311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837AFA" wp14:editId="561187AF">
              <wp:simplePos x="0" y="0"/>
              <wp:positionH relativeFrom="column">
                <wp:posOffset>-63500</wp:posOffset>
              </wp:positionH>
              <wp:positionV relativeFrom="paragraph">
                <wp:posOffset>126365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ECD" w:rsidRPr="00A32F1E" w:rsidRDefault="00463ECD" w:rsidP="00463ECD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A32F1E">
                            <w:rPr>
                              <w:rFonts w:ascii="Bodoni MT" w:eastAsia="BatangChe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  <w:t>PROYECTO SUCRE CIUDAD UNIVERSITARIA</w:t>
                          </w:r>
                        </w:p>
                        <w:p w:rsidR="00463ECD" w:rsidRPr="00A32F1E" w:rsidRDefault="00463ECD" w:rsidP="00463ECD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A32F1E">
                            <w:rPr>
                              <w:rFonts w:ascii="Bodoni MT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37AF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pt;margin-top:9.95pt;width:190.5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C2Kgqk3wAAAAkBAAAPAAAAAAAAAAAAAAAAAKUEAABkcnMvZG93bnJldi54bWxQSwUGAAAAAAQA&#10;BADzAAAAsQUAAAAA&#10;" strokecolor="white [3212]">
              <v:textbox>
                <w:txbxContent>
                  <w:p w:rsidR="00463ECD" w:rsidRPr="00A32F1E" w:rsidRDefault="00463ECD" w:rsidP="00463ECD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4"/>
                        <w:szCs w:val="14"/>
                        <w:lang w:val="es-ES"/>
                      </w:rPr>
                    </w:pPr>
                    <w:r w:rsidRPr="00A32F1E">
                      <w:rPr>
                        <w:rFonts w:ascii="Bodoni MT" w:eastAsia="BatangChe" w:hAnsi="Bodoni MT" w:cs="Andalus"/>
                        <w:b/>
                        <w:sz w:val="14"/>
                        <w:szCs w:val="14"/>
                        <w:lang w:val="es-ES"/>
                      </w:rPr>
                      <w:t>PROYECTO SUCRE CIUDAD UNIVERSITARIA</w:t>
                    </w:r>
                  </w:p>
                  <w:p w:rsidR="00463ECD" w:rsidRPr="00A32F1E" w:rsidRDefault="00463ECD" w:rsidP="00463ECD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4"/>
                        <w:szCs w:val="14"/>
                        <w:lang w:val="es-ES"/>
                      </w:rPr>
                    </w:pPr>
                    <w:r w:rsidRPr="00A32F1E">
                      <w:rPr>
                        <w:rFonts w:ascii="Bodoni MT" w:hAnsi="Bodoni MT" w:cs="Andalus"/>
                        <w:b/>
                        <w:sz w:val="14"/>
                        <w:szCs w:val="14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A5627C" w:rsidRDefault="00A5627C" w:rsidP="00A5627C">
    <w:pPr>
      <w:pStyle w:val="Piedepgina"/>
      <w:rPr>
        <w:b/>
        <w:sz w:val="18"/>
        <w:szCs w:val="18"/>
        <w:lang w:val="es-ES"/>
      </w:rPr>
    </w:pPr>
  </w:p>
  <w:p w:rsidR="00A5627C" w:rsidRPr="002754F3" w:rsidRDefault="00A5627C" w:rsidP="00463ECD">
    <w:pPr>
      <w:pStyle w:val="Piedepgina"/>
      <w:rPr>
        <w:sz w:val="14"/>
        <w:lang w:val="es-ES"/>
      </w:rPr>
    </w:pPr>
  </w:p>
  <w:p w:rsidR="00463ECD" w:rsidRDefault="00E84E19" w:rsidP="00A5627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38972C" wp14:editId="7E0C281B">
              <wp:simplePos x="0" y="0"/>
              <wp:positionH relativeFrom="column">
                <wp:posOffset>11430</wp:posOffset>
              </wp:positionH>
              <wp:positionV relativeFrom="paragraph">
                <wp:posOffset>68580</wp:posOffset>
              </wp:positionV>
              <wp:extent cx="5775960" cy="0"/>
              <wp:effectExtent l="11430" t="11430" r="1333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1D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9pt;margin-top:5.4pt;width:454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Q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B72"/>
    <w:multiLevelType w:val="hybridMultilevel"/>
    <w:tmpl w:val="7B26C7D2"/>
    <w:lvl w:ilvl="0" w:tplc="ED0C8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047"/>
    <w:multiLevelType w:val="hybridMultilevel"/>
    <w:tmpl w:val="8EC0F01E"/>
    <w:lvl w:ilvl="0" w:tplc="869CAF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1AA2"/>
    <w:multiLevelType w:val="hybridMultilevel"/>
    <w:tmpl w:val="14985AA2"/>
    <w:lvl w:ilvl="0" w:tplc="C1D460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FA1"/>
    <w:multiLevelType w:val="hybridMultilevel"/>
    <w:tmpl w:val="1B5014C8"/>
    <w:lvl w:ilvl="0" w:tplc="50507C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86B66"/>
    <w:multiLevelType w:val="hybridMultilevel"/>
    <w:tmpl w:val="42DC7E68"/>
    <w:lvl w:ilvl="0" w:tplc="12F0C9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37D"/>
    <w:multiLevelType w:val="hybridMultilevel"/>
    <w:tmpl w:val="EF624BD4"/>
    <w:lvl w:ilvl="0" w:tplc="8B66465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  <w:sz w:val="24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D76"/>
    <w:multiLevelType w:val="hybridMultilevel"/>
    <w:tmpl w:val="E8AA6848"/>
    <w:lvl w:ilvl="0" w:tplc="BC92C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E07F6"/>
    <w:multiLevelType w:val="hybridMultilevel"/>
    <w:tmpl w:val="21E229AE"/>
    <w:lvl w:ilvl="0" w:tplc="7A3CBA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301F"/>
    <w:multiLevelType w:val="hybridMultilevel"/>
    <w:tmpl w:val="308A9EB2"/>
    <w:lvl w:ilvl="0" w:tplc="5AE2F1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332C"/>
    <w:multiLevelType w:val="hybridMultilevel"/>
    <w:tmpl w:val="D91A7D02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28C"/>
    <w:multiLevelType w:val="hybridMultilevel"/>
    <w:tmpl w:val="0E368604"/>
    <w:lvl w:ilvl="0" w:tplc="994EC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161F3"/>
    <w:multiLevelType w:val="hybridMultilevel"/>
    <w:tmpl w:val="F15AB528"/>
    <w:lvl w:ilvl="0" w:tplc="3446C4E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37031F"/>
    <w:multiLevelType w:val="hybridMultilevel"/>
    <w:tmpl w:val="C86091E8"/>
    <w:lvl w:ilvl="0" w:tplc="E878C394">
      <w:start w:val="1"/>
      <w:numFmt w:val="non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F6A936">
      <w:start w:val="1"/>
      <w:numFmt w:val="decimal"/>
      <w:lvlText w:val="%2."/>
      <w:lvlJc w:val="left"/>
      <w:pPr>
        <w:ind w:left="2517" w:hanging="87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9E5904"/>
    <w:multiLevelType w:val="hybridMultilevel"/>
    <w:tmpl w:val="E12E303A"/>
    <w:lvl w:ilvl="0" w:tplc="52B435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085C44"/>
    <w:multiLevelType w:val="hybridMultilevel"/>
    <w:tmpl w:val="CD3C229E"/>
    <w:lvl w:ilvl="0" w:tplc="DB6C385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A3E0C"/>
    <w:multiLevelType w:val="hybridMultilevel"/>
    <w:tmpl w:val="197AD3BA"/>
    <w:lvl w:ilvl="0" w:tplc="59848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D1AFC"/>
    <w:multiLevelType w:val="hybridMultilevel"/>
    <w:tmpl w:val="BB08BE18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51B79"/>
    <w:multiLevelType w:val="hybridMultilevel"/>
    <w:tmpl w:val="4FC83A0C"/>
    <w:lvl w:ilvl="0" w:tplc="39B68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F43F8"/>
    <w:multiLevelType w:val="hybridMultilevel"/>
    <w:tmpl w:val="6540C444"/>
    <w:lvl w:ilvl="0" w:tplc="DDDCD56E">
      <w:start w:val="9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7787"/>
    <w:multiLevelType w:val="hybridMultilevel"/>
    <w:tmpl w:val="3288DD02"/>
    <w:lvl w:ilvl="0" w:tplc="D31097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6510E6"/>
    <w:multiLevelType w:val="hybridMultilevel"/>
    <w:tmpl w:val="D35870BA"/>
    <w:lvl w:ilvl="0" w:tplc="59848E68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4F512B46"/>
    <w:multiLevelType w:val="hybridMultilevel"/>
    <w:tmpl w:val="84BCA06E"/>
    <w:lvl w:ilvl="0" w:tplc="0E7621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43537"/>
    <w:multiLevelType w:val="hybridMultilevel"/>
    <w:tmpl w:val="1BC00AA4"/>
    <w:lvl w:ilvl="0" w:tplc="221016A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BD6098"/>
    <w:multiLevelType w:val="hybridMultilevel"/>
    <w:tmpl w:val="6D14374E"/>
    <w:lvl w:ilvl="0" w:tplc="2BBC1D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55FB0"/>
    <w:multiLevelType w:val="hybridMultilevel"/>
    <w:tmpl w:val="DB6A0A08"/>
    <w:lvl w:ilvl="0" w:tplc="4596F87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141A"/>
    <w:multiLevelType w:val="hybridMultilevel"/>
    <w:tmpl w:val="E6201E0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B6C4B"/>
    <w:multiLevelType w:val="hybridMultilevel"/>
    <w:tmpl w:val="E7544220"/>
    <w:lvl w:ilvl="0" w:tplc="AE8CCBB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36FD3"/>
    <w:multiLevelType w:val="hybridMultilevel"/>
    <w:tmpl w:val="C8E6C03C"/>
    <w:lvl w:ilvl="0" w:tplc="615CA2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8080F"/>
    <w:multiLevelType w:val="hybridMultilevel"/>
    <w:tmpl w:val="CA42D0C2"/>
    <w:lvl w:ilvl="0" w:tplc="89CA89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E18F7"/>
    <w:multiLevelType w:val="hybridMultilevel"/>
    <w:tmpl w:val="61D6A73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85925"/>
    <w:multiLevelType w:val="hybridMultilevel"/>
    <w:tmpl w:val="38B85AE8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D767F"/>
    <w:multiLevelType w:val="hybridMultilevel"/>
    <w:tmpl w:val="9FC610BE"/>
    <w:lvl w:ilvl="0" w:tplc="CB02BE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DF44EBF"/>
    <w:multiLevelType w:val="hybridMultilevel"/>
    <w:tmpl w:val="635C2E34"/>
    <w:lvl w:ilvl="0" w:tplc="A0C4F89E">
      <w:start w:val="2"/>
      <w:numFmt w:val="decimal"/>
      <w:lvlText w:val="%1"/>
      <w:lvlJc w:val="left"/>
      <w:pPr>
        <w:ind w:left="540" w:hanging="360"/>
      </w:pPr>
      <w:rPr>
        <w:rFonts w:hint="default"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260" w:hanging="360"/>
      </w:pPr>
    </w:lvl>
    <w:lvl w:ilvl="2" w:tplc="400A001B" w:tentative="1">
      <w:start w:val="1"/>
      <w:numFmt w:val="lowerRoman"/>
      <w:lvlText w:val="%3."/>
      <w:lvlJc w:val="right"/>
      <w:pPr>
        <w:ind w:left="1980" w:hanging="180"/>
      </w:pPr>
    </w:lvl>
    <w:lvl w:ilvl="3" w:tplc="400A000F" w:tentative="1">
      <w:start w:val="1"/>
      <w:numFmt w:val="decimal"/>
      <w:lvlText w:val="%4."/>
      <w:lvlJc w:val="left"/>
      <w:pPr>
        <w:ind w:left="2700" w:hanging="360"/>
      </w:pPr>
    </w:lvl>
    <w:lvl w:ilvl="4" w:tplc="400A0019" w:tentative="1">
      <w:start w:val="1"/>
      <w:numFmt w:val="lowerLetter"/>
      <w:lvlText w:val="%5."/>
      <w:lvlJc w:val="left"/>
      <w:pPr>
        <w:ind w:left="3420" w:hanging="360"/>
      </w:pPr>
    </w:lvl>
    <w:lvl w:ilvl="5" w:tplc="400A001B" w:tentative="1">
      <w:start w:val="1"/>
      <w:numFmt w:val="lowerRoman"/>
      <w:lvlText w:val="%6."/>
      <w:lvlJc w:val="right"/>
      <w:pPr>
        <w:ind w:left="4140" w:hanging="180"/>
      </w:pPr>
    </w:lvl>
    <w:lvl w:ilvl="6" w:tplc="400A000F" w:tentative="1">
      <w:start w:val="1"/>
      <w:numFmt w:val="decimal"/>
      <w:lvlText w:val="%7."/>
      <w:lvlJc w:val="left"/>
      <w:pPr>
        <w:ind w:left="4860" w:hanging="360"/>
      </w:pPr>
    </w:lvl>
    <w:lvl w:ilvl="7" w:tplc="400A0019" w:tentative="1">
      <w:start w:val="1"/>
      <w:numFmt w:val="lowerLetter"/>
      <w:lvlText w:val="%8."/>
      <w:lvlJc w:val="left"/>
      <w:pPr>
        <w:ind w:left="5580" w:hanging="360"/>
      </w:pPr>
    </w:lvl>
    <w:lvl w:ilvl="8" w:tplc="40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7"/>
  </w:num>
  <w:num w:numId="2">
    <w:abstractNumId w:val="7"/>
  </w:num>
  <w:num w:numId="3">
    <w:abstractNumId w:val="5"/>
  </w:num>
  <w:num w:numId="4">
    <w:abstractNumId w:val="22"/>
  </w:num>
  <w:num w:numId="5">
    <w:abstractNumId w:val="20"/>
  </w:num>
  <w:num w:numId="6">
    <w:abstractNumId w:val="40"/>
  </w:num>
  <w:num w:numId="7">
    <w:abstractNumId w:val="1"/>
  </w:num>
  <w:num w:numId="8">
    <w:abstractNumId w:val="2"/>
  </w:num>
  <w:num w:numId="9">
    <w:abstractNumId w:val="25"/>
  </w:num>
  <w:num w:numId="10">
    <w:abstractNumId w:val="29"/>
  </w:num>
  <w:num w:numId="11">
    <w:abstractNumId w:val="34"/>
  </w:num>
  <w:num w:numId="12">
    <w:abstractNumId w:val="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30"/>
  </w:num>
  <w:num w:numId="18">
    <w:abstractNumId w:val="6"/>
  </w:num>
  <w:num w:numId="19">
    <w:abstractNumId w:val="32"/>
  </w:num>
  <w:num w:numId="20">
    <w:abstractNumId w:val="21"/>
  </w:num>
  <w:num w:numId="21">
    <w:abstractNumId w:val="36"/>
  </w:num>
  <w:num w:numId="22">
    <w:abstractNumId w:val="19"/>
  </w:num>
  <w:num w:numId="23">
    <w:abstractNumId w:val="26"/>
  </w:num>
  <w:num w:numId="24">
    <w:abstractNumId w:val="0"/>
  </w:num>
  <w:num w:numId="25">
    <w:abstractNumId w:val="35"/>
  </w:num>
  <w:num w:numId="26">
    <w:abstractNumId w:val="27"/>
  </w:num>
  <w:num w:numId="27">
    <w:abstractNumId w:val="23"/>
  </w:num>
  <w:num w:numId="28">
    <w:abstractNumId w:val="14"/>
  </w:num>
  <w:num w:numId="29">
    <w:abstractNumId w:val="31"/>
  </w:num>
  <w:num w:numId="30">
    <w:abstractNumId w:val="9"/>
  </w:num>
  <w:num w:numId="31">
    <w:abstractNumId w:val="8"/>
  </w:num>
  <w:num w:numId="32">
    <w:abstractNumId w:val="28"/>
  </w:num>
  <w:num w:numId="33">
    <w:abstractNumId w:val="24"/>
  </w:num>
  <w:num w:numId="34">
    <w:abstractNumId w:val="39"/>
  </w:num>
  <w:num w:numId="35">
    <w:abstractNumId w:val="17"/>
  </w:num>
  <w:num w:numId="36">
    <w:abstractNumId w:val="10"/>
  </w:num>
  <w:num w:numId="37">
    <w:abstractNumId w:val="15"/>
  </w:num>
  <w:num w:numId="38">
    <w:abstractNumId w:val="18"/>
  </w:num>
  <w:num w:numId="39">
    <w:abstractNumId w:val="38"/>
  </w:num>
  <w:num w:numId="40">
    <w:abstractNumId w:val="3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D"/>
    <w:rsid w:val="0001155E"/>
    <w:rsid w:val="0001368B"/>
    <w:rsid w:val="00020A4C"/>
    <w:rsid w:val="0003046C"/>
    <w:rsid w:val="0004634B"/>
    <w:rsid w:val="00057AD1"/>
    <w:rsid w:val="00063222"/>
    <w:rsid w:val="000969AB"/>
    <w:rsid w:val="000B7666"/>
    <w:rsid w:val="000D4945"/>
    <w:rsid w:val="000F21F9"/>
    <w:rsid w:val="00110888"/>
    <w:rsid w:val="001265EB"/>
    <w:rsid w:val="0015098B"/>
    <w:rsid w:val="0015462C"/>
    <w:rsid w:val="00156CBA"/>
    <w:rsid w:val="0016032B"/>
    <w:rsid w:val="00166730"/>
    <w:rsid w:val="00187586"/>
    <w:rsid w:val="001D350E"/>
    <w:rsid w:val="001D439E"/>
    <w:rsid w:val="001E0FE1"/>
    <w:rsid w:val="001E6EB7"/>
    <w:rsid w:val="00216C57"/>
    <w:rsid w:val="00227A45"/>
    <w:rsid w:val="002435CA"/>
    <w:rsid w:val="00243922"/>
    <w:rsid w:val="00262FC7"/>
    <w:rsid w:val="0027369B"/>
    <w:rsid w:val="002754F3"/>
    <w:rsid w:val="00291402"/>
    <w:rsid w:val="002C57A1"/>
    <w:rsid w:val="002F3AC7"/>
    <w:rsid w:val="00310A2B"/>
    <w:rsid w:val="00315CDC"/>
    <w:rsid w:val="00351C33"/>
    <w:rsid w:val="00366672"/>
    <w:rsid w:val="00374714"/>
    <w:rsid w:val="00376698"/>
    <w:rsid w:val="0038257D"/>
    <w:rsid w:val="00387701"/>
    <w:rsid w:val="003C4C8A"/>
    <w:rsid w:val="004259D3"/>
    <w:rsid w:val="00435911"/>
    <w:rsid w:val="00463ECD"/>
    <w:rsid w:val="00476782"/>
    <w:rsid w:val="00480940"/>
    <w:rsid w:val="0048322E"/>
    <w:rsid w:val="004E6664"/>
    <w:rsid w:val="0050749A"/>
    <w:rsid w:val="0052459A"/>
    <w:rsid w:val="00592C34"/>
    <w:rsid w:val="005D114B"/>
    <w:rsid w:val="005D1CC5"/>
    <w:rsid w:val="005D77E1"/>
    <w:rsid w:val="005E7ADF"/>
    <w:rsid w:val="005F7DEC"/>
    <w:rsid w:val="00642F50"/>
    <w:rsid w:val="0065471C"/>
    <w:rsid w:val="006826AE"/>
    <w:rsid w:val="006830FE"/>
    <w:rsid w:val="006E18EE"/>
    <w:rsid w:val="006F493D"/>
    <w:rsid w:val="007025B1"/>
    <w:rsid w:val="00706F15"/>
    <w:rsid w:val="00724EEC"/>
    <w:rsid w:val="00730961"/>
    <w:rsid w:val="00731E08"/>
    <w:rsid w:val="00737120"/>
    <w:rsid w:val="0074212C"/>
    <w:rsid w:val="00753289"/>
    <w:rsid w:val="0079391B"/>
    <w:rsid w:val="007943D9"/>
    <w:rsid w:val="00795993"/>
    <w:rsid w:val="00796067"/>
    <w:rsid w:val="007B1AE3"/>
    <w:rsid w:val="007D3F78"/>
    <w:rsid w:val="007E470B"/>
    <w:rsid w:val="007F6431"/>
    <w:rsid w:val="00803905"/>
    <w:rsid w:val="0083383A"/>
    <w:rsid w:val="00837812"/>
    <w:rsid w:val="00864ECC"/>
    <w:rsid w:val="00867A09"/>
    <w:rsid w:val="00893532"/>
    <w:rsid w:val="008B1F84"/>
    <w:rsid w:val="00901BF5"/>
    <w:rsid w:val="00947462"/>
    <w:rsid w:val="009520E6"/>
    <w:rsid w:val="009758AF"/>
    <w:rsid w:val="00980EC5"/>
    <w:rsid w:val="009C5573"/>
    <w:rsid w:val="009C5C9C"/>
    <w:rsid w:val="009C6DCB"/>
    <w:rsid w:val="00A174B6"/>
    <w:rsid w:val="00A22C52"/>
    <w:rsid w:val="00A5627C"/>
    <w:rsid w:val="00A70FC8"/>
    <w:rsid w:val="00A76110"/>
    <w:rsid w:val="00A928AE"/>
    <w:rsid w:val="00AA1BDF"/>
    <w:rsid w:val="00AB0595"/>
    <w:rsid w:val="00AE38FF"/>
    <w:rsid w:val="00AF2D4F"/>
    <w:rsid w:val="00B10AA8"/>
    <w:rsid w:val="00B16A76"/>
    <w:rsid w:val="00B24DB1"/>
    <w:rsid w:val="00BA59CF"/>
    <w:rsid w:val="00BB3712"/>
    <w:rsid w:val="00BE4DBF"/>
    <w:rsid w:val="00BF28B3"/>
    <w:rsid w:val="00C40AE1"/>
    <w:rsid w:val="00C6149D"/>
    <w:rsid w:val="00C75175"/>
    <w:rsid w:val="00C94E6D"/>
    <w:rsid w:val="00CD3681"/>
    <w:rsid w:val="00CF2C0D"/>
    <w:rsid w:val="00D10F60"/>
    <w:rsid w:val="00D22FE0"/>
    <w:rsid w:val="00D24E46"/>
    <w:rsid w:val="00D301EA"/>
    <w:rsid w:val="00D37B87"/>
    <w:rsid w:val="00D4368E"/>
    <w:rsid w:val="00D57CD7"/>
    <w:rsid w:val="00D93DBD"/>
    <w:rsid w:val="00DA33B3"/>
    <w:rsid w:val="00DA727F"/>
    <w:rsid w:val="00DB2D0A"/>
    <w:rsid w:val="00DB5EB6"/>
    <w:rsid w:val="00DD40BE"/>
    <w:rsid w:val="00DE620A"/>
    <w:rsid w:val="00E13B77"/>
    <w:rsid w:val="00E21EBC"/>
    <w:rsid w:val="00E258AF"/>
    <w:rsid w:val="00E53241"/>
    <w:rsid w:val="00E65E51"/>
    <w:rsid w:val="00E7065E"/>
    <w:rsid w:val="00E84E19"/>
    <w:rsid w:val="00E94510"/>
    <w:rsid w:val="00EA2E57"/>
    <w:rsid w:val="00EA7975"/>
    <w:rsid w:val="00EC12D0"/>
    <w:rsid w:val="00ED13E6"/>
    <w:rsid w:val="00ED5533"/>
    <w:rsid w:val="00EF3010"/>
    <w:rsid w:val="00F022F9"/>
    <w:rsid w:val="00F255D9"/>
    <w:rsid w:val="00F27526"/>
    <w:rsid w:val="00F31BBA"/>
    <w:rsid w:val="00F41F6C"/>
    <w:rsid w:val="00F464AE"/>
    <w:rsid w:val="00F764D0"/>
    <w:rsid w:val="00F80904"/>
    <w:rsid w:val="00F82E76"/>
    <w:rsid w:val="00F93493"/>
    <w:rsid w:val="00FA5353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CBFA33-C828-4637-80CD-B25EBD7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FC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025B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rsid w:val="007025B1"/>
    <w:rPr>
      <w:rFonts w:ascii="Calibri" w:eastAsia="Times New Roman" w:hAnsi="Calibri" w:cs="Times New Roman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463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CD"/>
  </w:style>
  <w:style w:type="table" w:styleId="Tablaconcuadrcula">
    <w:name w:val="Table Grid"/>
    <w:basedOn w:val="Tablanormal"/>
    <w:uiPriority w:val="59"/>
    <w:rsid w:val="00A56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Cuenta Microsoft</cp:lastModifiedBy>
  <cp:revision>31</cp:revision>
  <cp:lastPrinted>2024-07-31T19:54:00Z</cp:lastPrinted>
  <dcterms:created xsi:type="dcterms:W3CDTF">2013-07-18T18:51:00Z</dcterms:created>
  <dcterms:modified xsi:type="dcterms:W3CDTF">2024-07-31T19:54:00Z</dcterms:modified>
</cp:coreProperties>
</file>