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D8" w:rsidRPr="00F82E76" w:rsidRDefault="007F33D8" w:rsidP="00733057">
      <w:pPr>
        <w:tabs>
          <w:tab w:val="left" w:pos="2410"/>
        </w:tabs>
        <w:spacing w:before="240" w:after="360" w:line="240" w:lineRule="auto"/>
        <w:jc w:val="center"/>
        <w:rPr>
          <w:b/>
          <w:spacing w:val="40"/>
          <w:sz w:val="28"/>
          <w:szCs w:val="28"/>
        </w:rPr>
      </w:pPr>
      <w:r w:rsidRPr="00F82E76">
        <w:rPr>
          <w:b/>
          <w:spacing w:val="40"/>
          <w:sz w:val="28"/>
          <w:szCs w:val="28"/>
        </w:rPr>
        <w:t xml:space="preserve">RESUMEN </w:t>
      </w:r>
      <w:bookmarkStart w:id="0" w:name="_GoBack"/>
      <w:bookmarkEnd w:id="0"/>
      <w:r w:rsidRPr="00F82E76">
        <w:rPr>
          <w:b/>
          <w:spacing w:val="40"/>
          <w:sz w:val="28"/>
          <w:szCs w:val="28"/>
        </w:rPr>
        <w:t>EJECUTIVO</w:t>
      </w:r>
    </w:p>
    <w:p w:rsidR="007F33D8" w:rsidRPr="00E53241" w:rsidRDefault="007F33D8" w:rsidP="00760BA8">
      <w:pPr>
        <w:tabs>
          <w:tab w:val="left" w:pos="2410"/>
        </w:tabs>
        <w:spacing w:before="80" w:after="80" w:line="271" w:lineRule="auto"/>
        <w:jc w:val="both"/>
        <w:rPr>
          <w:rFonts w:ascii="Calibri" w:hAnsi="Calibri" w:cs="Calibri"/>
        </w:rPr>
      </w:pPr>
      <w:r w:rsidRPr="00E53241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forme de Auditoria Interna </w:t>
      </w:r>
      <w:r w:rsidRPr="000E5143">
        <w:rPr>
          <w:rFonts w:ascii="Calibri" w:hAnsi="Calibri" w:cs="Calibri"/>
          <w:sz w:val="20"/>
        </w:rPr>
        <w:t>N° IAI/PSCU/0</w:t>
      </w:r>
      <w:r w:rsidR="000E5143" w:rsidRPr="000E5143">
        <w:rPr>
          <w:rFonts w:ascii="Calibri" w:hAnsi="Calibri" w:cs="Calibri"/>
          <w:sz w:val="20"/>
        </w:rPr>
        <w:t>1</w:t>
      </w:r>
      <w:r w:rsidRPr="000E5143">
        <w:rPr>
          <w:rFonts w:ascii="Calibri" w:hAnsi="Calibri" w:cs="Calibri"/>
          <w:sz w:val="20"/>
        </w:rPr>
        <w:t>/20</w:t>
      </w:r>
      <w:r w:rsidR="00835C5F" w:rsidRPr="000E5143">
        <w:rPr>
          <w:rFonts w:ascii="Calibri" w:hAnsi="Calibri" w:cs="Calibri"/>
          <w:sz w:val="20"/>
        </w:rPr>
        <w:t>2</w:t>
      </w:r>
      <w:r w:rsidR="001F2D1D">
        <w:rPr>
          <w:rFonts w:ascii="Calibri" w:hAnsi="Calibri" w:cs="Calibri"/>
          <w:sz w:val="20"/>
        </w:rPr>
        <w:t>5</w:t>
      </w:r>
      <w:r w:rsidRPr="00E53241">
        <w:rPr>
          <w:rFonts w:ascii="Calibri" w:hAnsi="Calibri" w:cs="Calibri"/>
        </w:rPr>
        <w:t xml:space="preserve">, correspondiente al examen sobre la </w:t>
      </w:r>
      <w:r w:rsidR="00760BA8" w:rsidRPr="00D909AF">
        <w:rPr>
          <w:rFonts w:cs="Arial"/>
          <w:i/>
          <w:sz w:val="20"/>
        </w:rPr>
        <w:t>Confiablidad de los Registros y Estados Financieros del Proyecto Sucre Ciudad Universitaria, del periodo comprendido entre el 1 de</w:t>
      </w:r>
      <w:r w:rsidR="00BD04FD">
        <w:rPr>
          <w:rFonts w:cs="Arial"/>
          <w:i/>
          <w:sz w:val="20"/>
        </w:rPr>
        <w:t xml:space="preserve"> enero al 31 de diciembre de 202</w:t>
      </w:r>
      <w:r w:rsidR="001F2D1D">
        <w:rPr>
          <w:rFonts w:cs="Arial"/>
          <w:i/>
          <w:sz w:val="20"/>
        </w:rPr>
        <w:t>4</w:t>
      </w:r>
      <w:r w:rsidR="00760BA8">
        <w:rPr>
          <w:rFonts w:cs="Arial"/>
        </w:rPr>
        <w:t>”</w:t>
      </w:r>
      <w:r w:rsidRPr="00E53241">
        <w:rPr>
          <w:rFonts w:ascii="Calibri" w:hAnsi="Calibri" w:cs="Calibri"/>
        </w:rPr>
        <w:t>, ejecutada en cumpl</w:t>
      </w:r>
      <w:r>
        <w:rPr>
          <w:rFonts w:ascii="Calibri" w:hAnsi="Calibri" w:cs="Calibri"/>
        </w:rPr>
        <w:t xml:space="preserve">imiento del </w:t>
      </w:r>
      <w:r w:rsidR="00F0129B">
        <w:rPr>
          <w:rFonts w:ascii="Calibri" w:hAnsi="Calibri" w:cs="Calibri"/>
        </w:rPr>
        <w:t xml:space="preserve">Artículo 15º </w:t>
      </w:r>
      <w:r w:rsidR="00F0129B" w:rsidRPr="002F1C0C">
        <w:t>de la Ley 1178 de Administración y Control Gubernamentales</w:t>
      </w:r>
      <w:r w:rsidR="00835C5F">
        <w:rPr>
          <w:rFonts w:ascii="Calibri" w:hAnsi="Calibri" w:cs="Calibri"/>
        </w:rPr>
        <w:t xml:space="preserve">, </w:t>
      </w:r>
      <w:r w:rsidR="00FD2D4D">
        <w:rPr>
          <w:rFonts w:cs="Arial"/>
        </w:rPr>
        <w:t>del Programa Operativo Anua</w:t>
      </w:r>
      <w:r w:rsidR="00D76149">
        <w:rPr>
          <w:rFonts w:cs="Arial"/>
        </w:rPr>
        <w:t xml:space="preserve">l </w:t>
      </w:r>
      <w:r w:rsidR="001F2D1D">
        <w:rPr>
          <w:rFonts w:cs="Arial"/>
        </w:rPr>
        <w:t>de la gestión 2024</w:t>
      </w:r>
      <w:r w:rsidR="00FD2D4D">
        <w:rPr>
          <w:rFonts w:cs="Arial"/>
        </w:rPr>
        <w:t xml:space="preserve"> y del Programa Op</w:t>
      </w:r>
      <w:r w:rsidR="001F2D1D">
        <w:rPr>
          <w:rFonts w:cs="Arial"/>
        </w:rPr>
        <w:t>erativo Anual de la gestión 2025</w:t>
      </w:r>
      <w:r w:rsidR="00FD2D4D">
        <w:rPr>
          <w:rFonts w:cs="Arial"/>
        </w:rPr>
        <w:t xml:space="preserve"> </w:t>
      </w:r>
      <w:r w:rsidRPr="00E53241">
        <w:rPr>
          <w:rFonts w:ascii="Calibri" w:hAnsi="Calibri" w:cs="Calibri"/>
        </w:rPr>
        <w:t xml:space="preserve">de la </w:t>
      </w:r>
      <w:r>
        <w:rPr>
          <w:rFonts w:ascii="Calibri" w:hAnsi="Calibri" w:cs="Calibri"/>
        </w:rPr>
        <w:t>Unidad</w:t>
      </w:r>
      <w:r w:rsidR="00835C5F">
        <w:rPr>
          <w:rFonts w:ascii="Calibri" w:hAnsi="Calibri" w:cs="Calibri"/>
        </w:rPr>
        <w:t xml:space="preserve"> de Auditoria Interna y en consideración </w:t>
      </w:r>
      <w:r w:rsidR="000E5143">
        <w:rPr>
          <w:rFonts w:ascii="Calibri" w:hAnsi="Calibri" w:cs="Calibri"/>
        </w:rPr>
        <w:t xml:space="preserve">de las </w:t>
      </w:r>
      <w:r w:rsidR="000E5143" w:rsidRPr="004E1BE9">
        <w:rPr>
          <w:rFonts w:cs="Arial"/>
        </w:rPr>
        <w:t>Normas de Auditoría de Confiabilidad de los Registros y Estados Financieros aprobadas mediante Resolución N° CGE/073/2021 de fecha 28 de octubre de 2021</w:t>
      </w:r>
      <w:r w:rsidR="000E5143">
        <w:rPr>
          <w:rFonts w:cs="Arial"/>
        </w:rPr>
        <w:t>.</w:t>
      </w:r>
    </w:p>
    <w:p w:rsidR="000E5143" w:rsidRPr="008A56AD" w:rsidRDefault="000E5143" w:rsidP="000E5143">
      <w:pPr>
        <w:spacing w:before="120" w:after="120" w:line="271" w:lineRule="auto"/>
        <w:jc w:val="both"/>
      </w:pPr>
      <w:r w:rsidRPr="008A56AD">
        <w:t xml:space="preserve">El objetivo de la auditoría es la acumulación y evaluación objetiva de evidencia, con el propósito de emitir un pronunciamiento, sobre la </w:t>
      </w:r>
      <w:r w:rsidRPr="008A56AD">
        <w:rPr>
          <w:rFonts w:cs="Arial"/>
        </w:rPr>
        <w:t>“</w:t>
      </w:r>
      <w:r w:rsidRPr="008A56AD">
        <w:rPr>
          <w:rFonts w:cs="Arial"/>
          <w:i/>
          <w:sz w:val="20"/>
        </w:rPr>
        <w:t>Confiablidad de los Registros y Estados Financieros del Proyecto Sucre Ciudad Universitaria del periodo comprendido entre el 1 de enero al 31 de diciembre de 202</w:t>
      </w:r>
      <w:r w:rsidR="001F2D1D">
        <w:rPr>
          <w:rFonts w:cs="Arial"/>
          <w:i/>
          <w:sz w:val="20"/>
        </w:rPr>
        <w:t>4</w:t>
      </w:r>
      <w:r w:rsidRPr="008A56AD">
        <w:rPr>
          <w:rFonts w:cs="Arial"/>
        </w:rPr>
        <w:t>”,</w:t>
      </w:r>
      <w:r w:rsidRPr="008A56AD">
        <w:t xml:space="preserve"> en el marco de las Normas Básicas del Sistema de Contabilidad Integrada.</w:t>
      </w:r>
    </w:p>
    <w:p w:rsidR="0044550B" w:rsidRDefault="000E5143" w:rsidP="000E5143">
      <w:pPr>
        <w:tabs>
          <w:tab w:val="left" w:pos="2410"/>
        </w:tabs>
        <w:spacing w:before="80" w:after="80" w:line="271" w:lineRule="auto"/>
        <w:jc w:val="both"/>
        <w:rPr>
          <w:rFonts w:cs="Calibri"/>
        </w:rPr>
      </w:pPr>
      <w:r w:rsidRPr="008A56AD">
        <w:t xml:space="preserve">Se aclara que son dos los informes que se emitirán producto de la auditoría de </w:t>
      </w:r>
      <w:r w:rsidRPr="008A56AD">
        <w:rPr>
          <w:rFonts w:cs="Arial"/>
        </w:rPr>
        <w:t>“</w:t>
      </w:r>
      <w:r w:rsidRPr="008A56AD">
        <w:rPr>
          <w:rFonts w:cs="Arial"/>
          <w:i/>
          <w:sz w:val="20"/>
        </w:rPr>
        <w:t>Confiablidad de los Registros y Estados Financieros del Proyecto Sucre Ciudad Universitaria del periodo comprendido entre el 1 de enero al 31 de diciembre de 202</w:t>
      </w:r>
      <w:r w:rsidR="001F2D1D">
        <w:rPr>
          <w:rFonts w:cs="Arial"/>
          <w:i/>
          <w:sz w:val="20"/>
        </w:rPr>
        <w:t>4</w:t>
      </w:r>
      <w:r w:rsidRPr="008A56AD">
        <w:rPr>
          <w:rFonts w:cs="Arial"/>
        </w:rPr>
        <w:t>”</w:t>
      </w:r>
      <w:r w:rsidRPr="008A56AD">
        <w:t xml:space="preserve">; en el presente informe se reporta el pronunciamiento sobre la confiabilidad de los </w:t>
      </w:r>
      <w:r w:rsidR="001F2D1D" w:rsidRPr="00241513">
        <w:rPr>
          <w:i/>
          <w:sz w:val="20"/>
        </w:rPr>
        <w:t>“Registros”</w:t>
      </w:r>
      <w:r w:rsidR="001F2D1D" w:rsidRPr="00032A48">
        <w:t xml:space="preserve">, así como las deficiencias de control interno emergentes de la evaluación de la confiabilidad de los </w:t>
      </w:r>
      <w:r w:rsidR="001F2D1D" w:rsidRPr="00241513">
        <w:rPr>
          <w:i/>
          <w:sz w:val="20"/>
        </w:rPr>
        <w:t>“Registros”</w:t>
      </w:r>
      <w:r w:rsidR="001F2D1D" w:rsidRPr="00032A48">
        <w:t xml:space="preserve"> </w:t>
      </w:r>
      <w:r w:rsidR="001F2D1D">
        <w:t>y; en</w:t>
      </w:r>
      <w:r w:rsidR="001F2D1D" w:rsidRPr="00032A48">
        <w:t xml:space="preserve"> otro informe, se emitirá el pronunciamiento sobre la confiabilidad de los </w:t>
      </w:r>
      <w:r w:rsidR="001F2D1D" w:rsidRPr="00241513">
        <w:rPr>
          <w:i/>
          <w:sz w:val="20"/>
        </w:rPr>
        <w:t>“Estados Financieros”</w:t>
      </w:r>
      <w:r w:rsidR="001F2D1D" w:rsidRPr="00032A48">
        <w:t xml:space="preserve">, así como las deficiencias de control interno resultantes de la evaluación de la confiabilidad de los </w:t>
      </w:r>
      <w:r w:rsidR="001F2D1D" w:rsidRPr="00241513">
        <w:rPr>
          <w:i/>
          <w:sz w:val="20"/>
        </w:rPr>
        <w:t>“Estados Financieros”</w:t>
      </w:r>
      <w:r w:rsidR="001F2D1D" w:rsidRPr="00032A48">
        <w:t>.</w:t>
      </w:r>
    </w:p>
    <w:p w:rsidR="00835C5F" w:rsidRDefault="00835C5F" w:rsidP="00760BA8">
      <w:pPr>
        <w:tabs>
          <w:tab w:val="left" w:pos="2410"/>
        </w:tabs>
        <w:spacing w:before="80" w:after="80" w:line="271" w:lineRule="auto"/>
        <w:jc w:val="both"/>
        <w:rPr>
          <w:rFonts w:ascii="Calibri" w:hAnsi="Calibri" w:cs="Calibri"/>
        </w:rPr>
      </w:pPr>
      <w:r>
        <w:rPr>
          <w:rFonts w:cs="Calibri"/>
        </w:rPr>
        <w:t xml:space="preserve">Asimismo, se reportó el pronunciamiento sobre la </w:t>
      </w:r>
      <w:r w:rsidRPr="00404A41">
        <w:rPr>
          <w:rFonts w:cs="Calibri"/>
          <w:i/>
          <w:sz w:val="20"/>
        </w:rPr>
        <w:t xml:space="preserve">“Confiabilidad de los Registros </w:t>
      </w:r>
      <w:r w:rsidR="000E5143">
        <w:rPr>
          <w:rFonts w:cs="Calibri"/>
          <w:i/>
          <w:sz w:val="20"/>
        </w:rPr>
        <w:t>del periodo comprendido entre el 01 de enero al 31 de diciembre de 202</w:t>
      </w:r>
      <w:r w:rsidR="001F2D1D">
        <w:rPr>
          <w:rFonts w:cs="Calibri"/>
          <w:i/>
          <w:sz w:val="20"/>
        </w:rPr>
        <w:t>4</w:t>
      </w:r>
      <w:r w:rsidRPr="00404A41">
        <w:rPr>
          <w:rFonts w:cs="Calibri"/>
          <w:i/>
          <w:sz w:val="20"/>
        </w:rPr>
        <w:t>”</w:t>
      </w:r>
      <w:r w:rsidR="000E5143">
        <w:rPr>
          <w:rFonts w:cs="Calibri"/>
        </w:rPr>
        <w:t>.</w:t>
      </w:r>
    </w:p>
    <w:p w:rsidR="000E5143" w:rsidRDefault="001F2D1D" w:rsidP="000E5143">
      <w:pPr>
        <w:spacing w:before="120" w:after="120" w:line="271" w:lineRule="auto"/>
        <w:jc w:val="both"/>
      </w:pPr>
      <w:r w:rsidRPr="00677D90">
        <w:t xml:space="preserve">En consideración del </w:t>
      </w:r>
      <w:r w:rsidRPr="00677D90">
        <w:rPr>
          <w:i/>
          <w:sz w:val="20"/>
        </w:rPr>
        <w:t>“área crítica”</w:t>
      </w:r>
      <w:r w:rsidRPr="00677D90">
        <w:t xml:space="preserve"> identificada: </w:t>
      </w:r>
      <w:r w:rsidRPr="00241513">
        <w:rPr>
          <w:rFonts w:cs="Calibri"/>
          <w:i/>
          <w:sz w:val="20"/>
        </w:rPr>
        <w:t xml:space="preserve">“Financiar y ejecutar 19 proyectos de equipamiento para fortalecer y modernizar los Laboratorios, Bibliotecas, Gabinetes, Centros de Investigación, entre otros de la Universidad San Francisco Xavier de Chuquisaca” </w:t>
      </w:r>
      <w:r w:rsidRPr="00241513">
        <w:rPr>
          <w:rFonts w:cs="Calibri"/>
          <w:sz w:val="20"/>
        </w:rPr>
        <w:t>(operación física contenida en el Programa Operativo Anual de la gestión 2024)</w:t>
      </w:r>
      <w:r w:rsidRPr="00677D90">
        <w:t xml:space="preserve">, </w:t>
      </w:r>
      <w:r>
        <w:t xml:space="preserve">se evaluó el 100% de los proyectos de inversión ejecutados en la modalidad de contratación:  </w:t>
      </w:r>
      <w:r w:rsidRPr="00170DA0">
        <w:rPr>
          <w:i/>
          <w:sz w:val="20"/>
        </w:rPr>
        <w:t>“Apoyo Nacional a la Producción y Empleo – ANPE”</w:t>
      </w:r>
      <w:r>
        <w:t xml:space="preserve"> consignado en el Decreto Supremo N° 0181 de fecha 28 de junio de 2009 y sus modificaciones</w:t>
      </w:r>
      <w:r w:rsidRPr="00677D90">
        <w:t xml:space="preserve">; la mencionada revisión implicó la evaluación de los registros contables resultantes de los procesos de contratación </w:t>
      </w:r>
      <w:r>
        <w:t>citados</w:t>
      </w:r>
      <w:r w:rsidRPr="00677D90">
        <w:t>; a continuación se detalla: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t xml:space="preserve">Programa Operativo Anual y Presupuesto, 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t xml:space="preserve">Estado de Ejecución Presupuestaria de Gastos, 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t>Carpetas de los procesos de contratación,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t xml:space="preserve">Comprobantes Contables C-31 relacionados con el pago por el concepto de la adquisición de bienes producto de los procesos de contratación efectuados, y su documentación de respaldo, 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t>Registros auxiliares,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t>Reportes emitidos por el Sistema de Contrataciones Estatales - SICOES, Sistema de Gestión Pública – SIGEP y Sistema de Información sobre Inversiones – SISIN,</w:t>
      </w:r>
    </w:p>
    <w:p w:rsidR="00D76149" w:rsidRPr="00D76149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9"/>
          <w:szCs w:val="19"/>
        </w:rPr>
      </w:pPr>
      <w:r w:rsidRPr="00D76149">
        <w:rPr>
          <w:sz w:val="19"/>
          <w:szCs w:val="19"/>
        </w:rPr>
        <w:lastRenderedPageBreak/>
        <w:t xml:space="preserve">Manuales de </w:t>
      </w:r>
      <w:r w:rsidR="001F2D1D">
        <w:rPr>
          <w:sz w:val="19"/>
          <w:szCs w:val="19"/>
        </w:rPr>
        <w:t>Procesos y P</w:t>
      </w:r>
      <w:r w:rsidRPr="00D76149">
        <w:rPr>
          <w:sz w:val="19"/>
          <w:szCs w:val="19"/>
        </w:rPr>
        <w:t>rocedimientos,</w:t>
      </w:r>
    </w:p>
    <w:p w:rsidR="00485251" w:rsidRPr="001F2D1D" w:rsidRDefault="00D76149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8"/>
        </w:rPr>
      </w:pPr>
      <w:r w:rsidRPr="00D76149">
        <w:rPr>
          <w:sz w:val="19"/>
          <w:szCs w:val="19"/>
        </w:rPr>
        <w:t>Convenios</w:t>
      </w:r>
    </w:p>
    <w:p w:rsidR="001F2D1D" w:rsidRPr="000E5143" w:rsidRDefault="001F2D1D" w:rsidP="00602D6D">
      <w:pPr>
        <w:pStyle w:val="Prrafodelista"/>
        <w:numPr>
          <w:ilvl w:val="0"/>
          <w:numId w:val="17"/>
        </w:numPr>
        <w:spacing w:before="40" w:after="40" w:line="271" w:lineRule="auto"/>
        <w:ind w:left="284" w:hanging="284"/>
        <w:contextualSpacing w:val="0"/>
        <w:jc w:val="both"/>
        <w:rPr>
          <w:sz w:val="18"/>
        </w:rPr>
      </w:pPr>
      <w:r>
        <w:rPr>
          <w:sz w:val="19"/>
          <w:szCs w:val="19"/>
        </w:rPr>
        <w:t>Transferencias</w:t>
      </w:r>
    </w:p>
    <w:p w:rsidR="003F1A54" w:rsidRPr="003F1A54" w:rsidRDefault="007F33D8" w:rsidP="003F1A54">
      <w:pPr>
        <w:tabs>
          <w:tab w:val="left" w:pos="2410"/>
        </w:tabs>
        <w:spacing w:before="120" w:after="240"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Como resultado del examen realizado se identificaron las siguientes deficiencias de control interno, habiéndose emitido las recomendaciones </w:t>
      </w:r>
      <w:r w:rsidR="00F0129B">
        <w:rPr>
          <w:rFonts w:ascii="Calibri" w:hAnsi="Calibri" w:cs="Calibri"/>
        </w:rPr>
        <w:t>para subsanar las mismas:</w:t>
      </w:r>
    </w:p>
    <w:p w:rsidR="001F2D1D" w:rsidRPr="001F2D1D" w:rsidRDefault="001F2D1D" w:rsidP="001F2D1D">
      <w:pPr>
        <w:pStyle w:val="Prrafodelista"/>
        <w:numPr>
          <w:ilvl w:val="1"/>
          <w:numId w:val="18"/>
        </w:numPr>
        <w:tabs>
          <w:tab w:val="left" w:pos="426"/>
          <w:tab w:val="right" w:pos="8505"/>
        </w:tabs>
        <w:spacing w:before="120" w:after="120"/>
        <w:ind w:left="425" w:hanging="425"/>
        <w:contextualSpacing w:val="0"/>
        <w:jc w:val="both"/>
        <w:outlineLvl w:val="0"/>
        <w:rPr>
          <w:rFonts w:cs="Calibri"/>
          <w:sz w:val="18"/>
          <w:szCs w:val="18"/>
        </w:rPr>
      </w:pPr>
      <w:r w:rsidRPr="001F2D1D">
        <w:rPr>
          <w:rFonts w:cs="Calibri"/>
          <w:sz w:val="18"/>
          <w:szCs w:val="18"/>
        </w:rPr>
        <w:t>DISPOSICIÓN DE TAREAS CONTENIDAS EN EL MANUAL DE PROCESOS Y PROCEDIMIENTOS VIGENTE RESPONDE A LAS FUNCIONES DE LAS DIFERENTES ÁREAS DE LA ENTIDAD</w:t>
      </w:r>
    </w:p>
    <w:p w:rsidR="001F2D1D" w:rsidRPr="001F2D1D" w:rsidRDefault="001F2D1D" w:rsidP="001F2D1D">
      <w:pPr>
        <w:pStyle w:val="Prrafodelista"/>
        <w:numPr>
          <w:ilvl w:val="1"/>
          <w:numId w:val="18"/>
        </w:numPr>
        <w:tabs>
          <w:tab w:val="left" w:pos="426"/>
          <w:tab w:val="right" w:pos="8505"/>
        </w:tabs>
        <w:spacing w:before="120" w:after="120"/>
        <w:ind w:left="425" w:hanging="425"/>
        <w:contextualSpacing w:val="0"/>
        <w:jc w:val="both"/>
        <w:outlineLvl w:val="0"/>
        <w:rPr>
          <w:rFonts w:cs="Calibri"/>
          <w:sz w:val="18"/>
          <w:szCs w:val="18"/>
        </w:rPr>
      </w:pPr>
      <w:r w:rsidRPr="001F2D1D">
        <w:rPr>
          <w:rFonts w:cs="Calibri"/>
          <w:sz w:val="18"/>
          <w:szCs w:val="18"/>
        </w:rPr>
        <w:t xml:space="preserve">FALTA DE PROCEDIMIENTOS RELACIONADOS CON LA CONTRATACIÓN DE BIENES EN LA MODALIDAD </w:t>
      </w:r>
      <w:r w:rsidRPr="001F2D1D">
        <w:rPr>
          <w:rFonts w:cs="Calibri"/>
          <w:i/>
          <w:sz w:val="18"/>
          <w:szCs w:val="18"/>
        </w:rPr>
        <w:t>“APOYO NACIONAL A LA PRODUCCIÓN Y EMPLEO - ANPE”</w:t>
      </w:r>
    </w:p>
    <w:p w:rsidR="001F2D1D" w:rsidRPr="001F2D1D" w:rsidRDefault="001F2D1D" w:rsidP="001F2D1D">
      <w:pPr>
        <w:pStyle w:val="Prrafodelista"/>
        <w:numPr>
          <w:ilvl w:val="1"/>
          <w:numId w:val="18"/>
        </w:numPr>
        <w:tabs>
          <w:tab w:val="left" w:pos="426"/>
          <w:tab w:val="right" w:pos="8505"/>
        </w:tabs>
        <w:spacing w:before="120" w:after="120"/>
        <w:ind w:left="425" w:hanging="425"/>
        <w:contextualSpacing w:val="0"/>
        <w:jc w:val="both"/>
        <w:outlineLvl w:val="0"/>
        <w:rPr>
          <w:rFonts w:cs="Calibri"/>
          <w:sz w:val="18"/>
          <w:szCs w:val="18"/>
        </w:rPr>
      </w:pPr>
      <w:r w:rsidRPr="001F2D1D">
        <w:rPr>
          <w:rFonts w:cs="Calibri"/>
          <w:sz w:val="18"/>
          <w:szCs w:val="18"/>
        </w:rPr>
        <w:t>INADECUADA DESCRIPCIÓN DE LAS TAREAS QUE FORMAN PARTE DE LOS PROCEDIMIENTOS</w:t>
      </w:r>
    </w:p>
    <w:p w:rsidR="00835C5F" w:rsidRPr="001F2D1D" w:rsidRDefault="001F2D1D" w:rsidP="001F2D1D">
      <w:pPr>
        <w:pStyle w:val="Prrafodelista"/>
        <w:numPr>
          <w:ilvl w:val="1"/>
          <w:numId w:val="18"/>
        </w:numPr>
        <w:tabs>
          <w:tab w:val="left" w:pos="426"/>
          <w:tab w:val="right" w:pos="8505"/>
        </w:tabs>
        <w:spacing w:before="120" w:after="120"/>
        <w:ind w:left="425" w:hanging="425"/>
        <w:contextualSpacing w:val="0"/>
        <w:jc w:val="both"/>
        <w:outlineLvl w:val="0"/>
        <w:rPr>
          <w:rFonts w:cs="Calibri"/>
          <w:sz w:val="18"/>
          <w:szCs w:val="18"/>
        </w:rPr>
      </w:pPr>
      <w:r w:rsidRPr="001F2D1D">
        <w:rPr>
          <w:rFonts w:cs="Calibri"/>
          <w:sz w:val="18"/>
          <w:szCs w:val="18"/>
        </w:rPr>
        <w:t>FALTA DE PROCEDIMIENTOS FORMALMENTE ESTABLECIDOS PARA LA APLICACIÓN DEL DECRETO SUPREMO N° 4505 DE FECHA 05 DE MAYO DE 2021</w:t>
      </w:r>
      <w:r w:rsidR="003F1A54" w:rsidRPr="001F2D1D">
        <w:rPr>
          <w:rFonts w:cs="Calibri"/>
          <w:sz w:val="18"/>
          <w:szCs w:val="18"/>
        </w:rPr>
        <w:t xml:space="preserve"> </w:t>
      </w:r>
    </w:p>
    <w:p w:rsidR="0004206A" w:rsidRDefault="0004206A" w:rsidP="00BD04FD">
      <w:pPr>
        <w:spacing w:before="240" w:after="0"/>
        <w:rPr>
          <w:sz w:val="16"/>
        </w:rPr>
      </w:pPr>
    </w:p>
    <w:p w:rsidR="00BD04FD" w:rsidRDefault="00BD04FD" w:rsidP="00BD04FD">
      <w:pPr>
        <w:spacing w:before="240" w:after="0"/>
      </w:pPr>
      <w:r>
        <w:rPr>
          <w:sz w:val="16"/>
        </w:rPr>
        <w:t xml:space="preserve">Sucre, </w:t>
      </w:r>
      <w:r w:rsidR="000E5143">
        <w:rPr>
          <w:sz w:val="16"/>
        </w:rPr>
        <w:t>enero</w:t>
      </w:r>
      <w:r>
        <w:rPr>
          <w:sz w:val="16"/>
        </w:rPr>
        <w:t xml:space="preserve"> de 202</w:t>
      </w:r>
      <w:r w:rsidR="001F2D1D">
        <w:rPr>
          <w:sz w:val="16"/>
        </w:rPr>
        <w:t>5</w:t>
      </w:r>
    </w:p>
    <w:sectPr w:rsidR="00BD04FD" w:rsidSect="00733057">
      <w:headerReference w:type="default" r:id="rId8"/>
      <w:pgSz w:w="12242" w:h="15842" w:code="1"/>
      <w:pgMar w:top="1418" w:right="1644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84" w:rsidRDefault="00782E84" w:rsidP="00D2589B">
      <w:pPr>
        <w:spacing w:after="0" w:line="240" w:lineRule="auto"/>
      </w:pPr>
      <w:r>
        <w:separator/>
      </w:r>
    </w:p>
  </w:endnote>
  <w:endnote w:type="continuationSeparator" w:id="0">
    <w:p w:rsidR="00782E84" w:rsidRDefault="00782E84" w:rsidP="00D2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84" w:rsidRDefault="00782E84" w:rsidP="00D2589B">
      <w:pPr>
        <w:spacing w:after="0" w:line="240" w:lineRule="auto"/>
      </w:pPr>
      <w:r>
        <w:separator/>
      </w:r>
    </w:p>
  </w:footnote>
  <w:footnote w:type="continuationSeparator" w:id="0">
    <w:p w:rsidR="00782E84" w:rsidRDefault="00782E84" w:rsidP="00D25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9B" w:rsidRPr="00E84C2B" w:rsidRDefault="00D2589B" w:rsidP="00D2589B">
    <w:pPr>
      <w:pStyle w:val="Piedepgina"/>
      <w:jc w:val="right"/>
      <w:rPr>
        <w:b/>
        <w:sz w:val="16"/>
        <w:szCs w:val="16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1824" behindDoc="0" locked="0" layoutInCell="1" allowOverlap="1" wp14:anchorId="0715883F" wp14:editId="60187F06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476250" cy="365919"/>
          <wp:effectExtent l="0" t="0" r="0" b="0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375" cy="36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24E" w:rsidRDefault="0085724E" w:rsidP="00D2589B">
    <w:pPr>
      <w:pStyle w:val="Piedepgina"/>
      <w:jc w:val="right"/>
      <w:rPr>
        <w:b/>
        <w:sz w:val="20"/>
        <w:szCs w:val="20"/>
        <w:lang w:val="es-ES"/>
      </w:rPr>
    </w:pPr>
  </w:p>
  <w:p w:rsidR="0085724E" w:rsidRPr="00E84C2B" w:rsidRDefault="00BD04FD" w:rsidP="00D2589B">
    <w:pPr>
      <w:pStyle w:val="Piedepgina"/>
      <w:jc w:val="right"/>
      <w:rPr>
        <w:b/>
        <w:sz w:val="20"/>
        <w:szCs w:val="20"/>
        <w:lang w:val="es-ES"/>
      </w:rPr>
    </w:pPr>
    <w:r>
      <w:rPr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4E2A47" wp14:editId="20B89BBE">
              <wp:simplePos x="0" y="0"/>
              <wp:positionH relativeFrom="column">
                <wp:posOffset>-78105</wp:posOffset>
              </wp:positionH>
              <wp:positionV relativeFrom="paragraph">
                <wp:posOffset>147955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eastAsia="BatangChe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PROYECTO SUCRE CIUDAD UNIVERSITARIA</w:t>
                          </w:r>
                        </w:p>
                        <w:p w:rsidR="00D2589B" w:rsidRPr="00854F19" w:rsidRDefault="00D2589B" w:rsidP="00D2589B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</w:pPr>
                          <w:r w:rsidRPr="00854F19">
                            <w:rPr>
                              <w:rFonts w:ascii="Bodoni MT" w:hAnsi="Bodoni MT" w:cs="Andalus"/>
                              <w:b/>
                              <w:sz w:val="15"/>
                              <w:szCs w:val="15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E2A4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6.15pt;margin-top:11.65pt;width:19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" strokecolor="white [3212]">
              <v:textbox>
                <w:txbxContent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eastAsia="BatangChe" w:hAnsi="Bodoni MT" w:cs="Andalus"/>
                        <w:b/>
                        <w:sz w:val="15"/>
                        <w:szCs w:val="15"/>
                        <w:lang w:val="es-ES"/>
                      </w:rPr>
                      <w:t>PROYECTO SUCRE CIUDAD UNIVERSITARIA</w:t>
                    </w:r>
                  </w:p>
                  <w:p w:rsidR="00D2589B" w:rsidRPr="00854F19" w:rsidRDefault="00D2589B" w:rsidP="00D2589B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</w:pPr>
                    <w:r w:rsidRPr="00854F19">
                      <w:rPr>
                        <w:rFonts w:ascii="Bodoni MT" w:hAnsi="Bodoni MT" w:cs="Andalus"/>
                        <w:b/>
                        <w:sz w:val="15"/>
                        <w:szCs w:val="15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D2589B" w:rsidRDefault="00D2589B" w:rsidP="00D2589B">
    <w:pPr>
      <w:pStyle w:val="Piedepgina"/>
      <w:rPr>
        <w:lang w:val="es-ES"/>
      </w:rPr>
    </w:pPr>
  </w:p>
  <w:p w:rsidR="00BD04FD" w:rsidRDefault="00BD04FD" w:rsidP="00D2589B">
    <w:pPr>
      <w:pStyle w:val="Piedepgina"/>
      <w:rPr>
        <w:lang w:val="es-ES"/>
      </w:rPr>
    </w:pPr>
  </w:p>
  <w:p w:rsidR="00D2589B" w:rsidRPr="009F6F5E" w:rsidRDefault="00BD04FD" w:rsidP="00D2589B">
    <w:pPr>
      <w:pStyle w:val="Piedepgina"/>
      <w:rPr>
        <w:lang w:val="es-ES"/>
      </w:rPr>
    </w:pPr>
    <w:r>
      <w:rPr>
        <w:b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1F21AE" wp14:editId="245BF37E">
              <wp:simplePos x="0" y="0"/>
              <wp:positionH relativeFrom="column">
                <wp:posOffset>59690</wp:posOffset>
              </wp:positionH>
              <wp:positionV relativeFrom="paragraph">
                <wp:posOffset>67945</wp:posOffset>
              </wp:positionV>
              <wp:extent cx="5448300" cy="0"/>
              <wp:effectExtent l="0" t="0" r="19050" b="1905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1A1F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4.7pt;margin-top:5.35pt;width:429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2228"/>
    <w:multiLevelType w:val="hybridMultilevel"/>
    <w:tmpl w:val="4AF64208"/>
    <w:lvl w:ilvl="0" w:tplc="3B6E36D0">
      <w:start w:val="59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E6B0D"/>
    <w:multiLevelType w:val="hybridMultilevel"/>
    <w:tmpl w:val="6B8E83CC"/>
    <w:lvl w:ilvl="0" w:tplc="E3523CF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BA2DC3"/>
    <w:multiLevelType w:val="multilevel"/>
    <w:tmpl w:val="17F44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>
    <w:nsid w:val="288356B3"/>
    <w:multiLevelType w:val="hybridMultilevel"/>
    <w:tmpl w:val="64DE38FE"/>
    <w:lvl w:ilvl="0" w:tplc="ADF89A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E4EAD"/>
    <w:multiLevelType w:val="hybridMultilevel"/>
    <w:tmpl w:val="14625814"/>
    <w:lvl w:ilvl="0" w:tplc="68701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F482C"/>
    <w:multiLevelType w:val="hybridMultilevel"/>
    <w:tmpl w:val="19F4241A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27E62"/>
    <w:multiLevelType w:val="hybridMultilevel"/>
    <w:tmpl w:val="292240F6"/>
    <w:lvl w:ilvl="0" w:tplc="0C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C3A02"/>
    <w:multiLevelType w:val="hybridMultilevel"/>
    <w:tmpl w:val="3D7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61477"/>
    <w:multiLevelType w:val="hybridMultilevel"/>
    <w:tmpl w:val="B74ED87E"/>
    <w:lvl w:ilvl="0" w:tplc="2C40E8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72321"/>
    <w:multiLevelType w:val="hybridMultilevel"/>
    <w:tmpl w:val="A8346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C6E83"/>
    <w:multiLevelType w:val="hybridMultilevel"/>
    <w:tmpl w:val="B90ED3F4"/>
    <w:lvl w:ilvl="0" w:tplc="5CC4403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E5F40"/>
    <w:multiLevelType w:val="hybridMultilevel"/>
    <w:tmpl w:val="CDD01EC4"/>
    <w:lvl w:ilvl="0" w:tplc="6F2E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3"/>
  </w:num>
  <w:num w:numId="7">
    <w:abstractNumId w:val="9"/>
  </w:num>
  <w:num w:numId="8">
    <w:abstractNumId w:val="15"/>
  </w:num>
  <w:num w:numId="9">
    <w:abstractNumId w:val="8"/>
  </w:num>
  <w:num w:numId="10">
    <w:abstractNumId w:val="10"/>
  </w:num>
  <w:num w:numId="11">
    <w:abstractNumId w:val="6"/>
  </w:num>
  <w:num w:numId="12">
    <w:abstractNumId w:val="18"/>
  </w:num>
  <w:num w:numId="13">
    <w:abstractNumId w:val="4"/>
  </w:num>
  <w:num w:numId="14">
    <w:abstractNumId w:val="16"/>
  </w:num>
  <w:num w:numId="15">
    <w:abstractNumId w:val="14"/>
  </w:num>
  <w:num w:numId="16">
    <w:abstractNumId w:val="17"/>
  </w:num>
  <w:num w:numId="17">
    <w:abstractNumId w:val="0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B"/>
    <w:rsid w:val="0001445F"/>
    <w:rsid w:val="0004206A"/>
    <w:rsid w:val="0009130D"/>
    <w:rsid w:val="000E5143"/>
    <w:rsid w:val="00190204"/>
    <w:rsid w:val="001D202B"/>
    <w:rsid w:val="001F2D1D"/>
    <w:rsid w:val="002813A4"/>
    <w:rsid w:val="002C0A6B"/>
    <w:rsid w:val="002C32FF"/>
    <w:rsid w:val="00300EA9"/>
    <w:rsid w:val="00336FA2"/>
    <w:rsid w:val="00351824"/>
    <w:rsid w:val="00370EDB"/>
    <w:rsid w:val="003F1A54"/>
    <w:rsid w:val="00416620"/>
    <w:rsid w:val="0044550B"/>
    <w:rsid w:val="0044647A"/>
    <w:rsid w:val="00483114"/>
    <w:rsid w:val="00485251"/>
    <w:rsid w:val="00493028"/>
    <w:rsid w:val="004B65BB"/>
    <w:rsid w:val="004E114C"/>
    <w:rsid w:val="00510C14"/>
    <w:rsid w:val="00580A6C"/>
    <w:rsid w:val="005A178C"/>
    <w:rsid w:val="005A3FCD"/>
    <w:rsid w:val="00602D6D"/>
    <w:rsid w:val="00616763"/>
    <w:rsid w:val="00653203"/>
    <w:rsid w:val="006B794D"/>
    <w:rsid w:val="006E0708"/>
    <w:rsid w:val="00733057"/>
    <w:rsid w:val="00750C06"/>
    <w:rsid w:val="007537D4"/>
    <w:rsid w:val="00760BA8"/>
    <w:rsid w:val="00772093"/>
    <w:rsid w:val="00782E84"/>
    <w:rsid w:val="007B4F39"/>
    <w:rsid w:val="007F33D8"/>
    <w:rsid w:val="00824BEB"/>
    <w:rsid w:val="00835C5F"/>
    <w:rsid w:val="0085724E"/>
    <w:rsid w:val="008D1ED0"/>
    <w:rsid w:val="009622B1"/>
    <w:rsid w:val="00992C50"/>
    <w:rsid w:val="009A6E68"/>
    <w:rsid w:val="009D489D"/>
    <w:rsid w:val="00BC622F"/>
    <w:rsid w:val="00BD04FD"/>
    <w:rsid w:val="00C40B8C"/>
    <w:rsid w:val="00C7091E"/>
    <w:rsid w:val="00C90A5A"/>
    <w:rsid w:val="00CB5C06"/>
    <w:rsid w:val="00CD7322"/>
    <w:rsid w:val="00D2589B"/>
    <w:rsid w:val="00D27D63"/>
    <w:rsid w:val="00D63174"/>
    <w:rsid w:val="00D76149"/>
    <w:rsid w:val="00DA2F30"/>
    <w:rsid w:val="00DD4FA3"/>
    <w:rsid w:val="00E31A45"/>
    <w:rsid w:val="00E9585C"/>
    <w:rsid w:val="00E96E9A"/>
    <w:rsid w:val="00ED4D98"/>
    <w:rsid w:val="00F0129B"/>
    <w:rsid w:val="00FC674B"/>
    <w:rsid w:val="00FD2D4D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B5E002-9949-41C2-9999-3D3E34EC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3D8"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9B"/>
  </w:style>
  <w:style w:type="paragraph" w:styleId="Piedepgina">
    <w:name w:val="footer"/>
    <w:basedOn w:val="Normal"/>
    <w:link w:val="PiedepginaCar"/>
    <w:unhideWhenUsed/>
    <w:rsid w:val="00D25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2589B"/>
  </w:style>
  <w:style w:type="paragraph" w:styleId="Textodeglobo">
    <w:name w:val="Balloon Text"/>
    <w:basedOn w:val="Normal"/>
    <w:link w:val="TextodegloboCar"/>
    <w:uiPriority w:val="99"/>
    <w:semiHidden/>
    <w:unhideWhenUsed/>
    <w:rsid w:val="00D2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9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658F-8690-4570-B9C0-06D6E36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Cuenta Microsoft</cp:lastModifiedBy>
  <cp:revision>37</cp:revision>
  <cp:lastPrinted>2025-01-27T20:26:00Z</cp:lastPrinted>
  <dcterms:created xsi:type="dcterms:W3CDTF">2013-03-14T12:44:00Z</dcterms:created>
  <dcterms:modified xsi:type="dcterms:W3CDTF">2025-01-27T20:28:00Z</dcterms:modified>
</cp:coreProperties>
</file>