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3D8" w:rsidRPr="00F82E76" w:rsidRDefault="007F33D8" w:rsidP="006151FE">
      <w:pPr>
        <w:tabs>
          <w:tab w:val="left" w:pos="2410"/>
        </w:tabs>
        <w:spacing w:before="360" w:after="480" w:line="240" w:lineRule="auto"/>
        <w:jc w:val="center"/>
        <w:rPr>
          <w:b/>
          <w:spacing w:val="40"/>
          <w:sz w:val="28"/>
          <w:szCs w:val="28"/>
        </w:rPr>
      </w:pPr>
      <w:r w:rsidRPr="00F82E76">
        <w:rPr>
          <w:b/>
          <w:spacing w:val="40"/>
          <w:sz w:val="28"/>
          <w:szCs w:val="28"/>
        </w:rPr>
        <w:t>RESUMEN EJECUTIVO</w:t>
      </w:r>
    </w:p>
    <w:p w:rsidR="007F33D8" w:rsidRPr="00E53241" w:rsidRDefault="007F33D8" w:rsidP="00760BA8">
      <w:pPr>
        <w:tabs>
          <w:tab w:val="left" w:pos="2410"/>
        </w:tabs>
        <w:spacing w:before="80" w:after="80" w:line="271" w:lineRule="auto"/>
        <w:jc w:val="both"/>
        <w:rPr>
          <w:rFonts w:ascii="Calibri" w:hAnsi="Calibri" w:cs="Calibri"/>
        </w:rPr>
      </w:pPr>
      <w:r w:rsidRPr="00E53241">
        <w:rPr>
          <w:rFonts w:ascii="Calibri" w:hAnsi="Calibri" w:cs="Calibri"/>
        </w:rPr>
        <w:t>In</w:t>
      </w:r>
      <w:r>
        <w:rPr>
          <w:rFonts w:ascii="Calibri" w:hAnsi="Calibri" w:cs="Calibri"/>
        </w:rPr>
        <w:t xml:space="preserve">forme de Auditoria Interna </w:t>
      </w:r>
      <w:r w:rsidRPr="000E5143">
        <w:rPr>
          <w:rFonts w:ascii="Calibri" w:hAnsi="Calibri" w:cs="Calibri"/>
          <w:sz w:val="20"/>
        </w:rPr>
        <w:t>N° IAI/PSCU/0</w:t>
      </w:r>
      <w:r w:rsidR="006151FE">
        <w:rPr>
          <w:rFonts w:ascii="Calibri" w:hAnsi="Calibri" w:cs="Calibri"/>
          <w:sz w:val="20"/>
        </w:rPr>
        <w:t>2</w:t>
      </w:r>
      <w:r w:rsidRPr="000E5143">
        <w:rPr>
          <w:rFonts w:ascii="Calibri" w:hAnsi="Calibri" w:cs="Calibri"/>
          <w:sz w:val="20"/>
        </w:rPr>
        <w:t>/20</w:t>
      </w:r>
      <w:r w:rsidR="00835C5F" w:rsidRPr="000E5143">
        <w:rPr>
          <w:rFonts w:ascii="Calibri" w:hAnsi="Calibri" w:cs="Calibri"/>
          <w:sz w:val="20"/>
        </w:rPr>
        <w:t>2</w:t>
      </w:r>
      <w:r w:rsidR="00E31696">
        <w:rPr>
          <w:rFonts w:ascii="Calibri" w:hAnsi="Calibri" w:cs="Calibri"/>
          <w:sz w:val="20"/>
        </w:rPr>
        <w:t>5</w:t>
      </w:r>
      <w:r w:rsidRPr="00E53241">
        <w:rPr>
          <w:rFonts w:ascii="Calibri" w:hAnsi="Calibri" w:cs="Calibri"/>
        </w:rPr>
        <w:t xml:space="preserve">, correspondiente al examen sobre la </w:t>
      </w:r>
      <w:r w:rsidR="00760BA8" w:rsidRPr="00D909AF">
        <w:rPr>
          <w:rFonts w:cs="Arial"/>
          <w:i/>
          <w:sz w:val="20"/>
        </w:rPr>
        <w:t xml:space="preserve">Confiablidad de los Registros y Estados Financieros del Proyecto Sucre Ciudad </w:t>
      </w:r>
      <w:r w:rsidR="00827337">
        <w:rPr>
          <w:rFonts w:cs="Arial"/>
          <w:i/>
          <w:sz w:val="20"/>
        </w:rPr>
        <w:t xml:space="preserve">Universitaria </w:t>
      </w:r>
      <w:r w:rsidR="00760BA8" w:rsidRPr="00D909AF">
        <w:rPr>
          <w:rFonts w:cs="Arial"/>
          <w:i/>
          <w:sz w:val="20"/>
        </w:rPr>
        <w:t>del periodo comprendido entre el 1 de</w:t>
      </w:r>
      <w:r w:rsidR="00BD04FD">
        <w:rPr>
          <w:rFonts w:cs="Arial"/>
          <w:i/>
          <w:sz w:val="20"/>
        </w:rPr>
        <w:t xml:space="preserve"> enero al 31 de diciembre de 202</w:t>
      </w:r>
      <w:r w:rsidR="00E31696">
        <w:rPr>
          <w:rFonts w:cs="Arial"/>
          <w:i/>
          <w:sz w:val="20"/>
        </w:rPr>
        <w:t>4</w:t>
      </w:r>
      <w:r w:rsidR="00760BA8">
        <w:rPr>
          <w:rFonts w:cs="Arial"/>
        </w:rPr>
        <w:t>”</w:t>
      </w:r>
      <w:r w:rsidRPr="00E53241">
        <w:rPr>
          <w:rFonts w:ascii="Calibri" w:hAnsi="Calibri" w:cs="Calibri"/>
        </w:rPr>
        <w:t>, ejecutada en cumpl</w:t>
      </w:r>
      <w:r>
        <w:rPr>
          <w:rFonts w:ascii="Calibri" w:hAnsi="Calibri" w:cs="Calibri"/>
        </w:rPr>
        <w:t xml:space="preserve">imiento del </w:t>
      </w:r>
      <w:r w:rsidR="00F0129B">
        <w:rPr>
          <w:rFonts w:ascii="Calibri" w:hAnsi="Calibri" w:cs="Calibri"/>
        </w:rPr>
        <w:t xml:space="preserve">Artículo 15º </w:t>
      </w:r>
      <w:r w:rsidR="00F0129B" w:rsidRPr="002F1C0C">
        <w:t xml:space="preserve">de la </w:t>
      </w:r>
      <w:r w:rsidR="005F52EB" w:rsidRPr="0020586F">
        <w:rPr>
          <w:i/>
          <w:sz w:val="20"/>
        </w:rPr>
        <w:t>“</w:t>
      </w:r>
      <w:r w:rsidR="00F0129B" w:rsidRPr="0020586F">
        <w:rPr>
          <w:i/>
          <w:sz w:val="20"/>
        </w:rPr>
        <w:t>Ley 1178 de Administración y Control Gubernamentales</w:t>
      </w:r>
      <w:r w:rsidR="005F52EB" w:rsidRPr="0020586F">
        <w:rPr>
          <w:i/>
          <w:sz w:val="20"/>
        </w:rPr>
        <w:t>”</w:t>
      </w:r>
      <w:r w:rsidR="00835C5F">
        <w:rPr>
          <w:rFonts w:ascii="Calibri" w:hAnsi="Calibri" w:cs="Calibri"/>
        </w:rPr>
        <w:t xml:space="preserve">, </w:t>
      </w:r>
      <w:r w:rsidR="00FD2D4D">
        <w:rPr>
          <w:rFonts w:cs="Arial"/>
        </w:rPr>
        <w:t xml:space="preserve">del </w:t>
      </w:r>
      <w:r w:rsidR="005F52EB" w:rsidRPr="0020586F">
        <w:rPr>
          <w:rFonts w:cs="Arial"/>
          <w:i/>
          <w:sz w:val="20"/>
        </w:rPr>
        <w:t>“</w:t>
      </w:r>
      <w:r w:rsidR="00FD2D4D" w:rsidRPr="0020586F">
        <w:rPr>
          <w:rFonts w:cs="Arial"/>
          <w:i/>
          <w:sz w:val="20"/>
        </w:rPr>
        <w:t>Programa Op</w:t>
      </w:r>
      <w:r w:rsidR="005F52EB" w:rsidRPr="0020586F">
        <w:rPr>
          <w:rFonts w:cs="Arial"/>
          <w:i/>
          <w:sz w:val="20"/>
        </w:rPr>
        <w:t>erativo Anual”</w:t>
      </w:r>
      <w:r w:rsidR="005F52EB">
        <w:rPr>
          <w:rFonts w:cs="Arial"/>
        </w:rPr>
        <w:t xml:space="preserve"> </w:t>
      </w:r>
      <w:r w:rsidR="006151FE">
        <w:rPr>
          <w:rFonts w:cs="Arial"/>
        </w:rPr>
        <w:t>de la gestión 202</w:t>
      </w:r>
      <w:r w:rsidR="00E31696">
        <w:rPr>
          <w:rFonts w:cs="Arial"/>
        </w:rPr>
        <w:t>5</w:t>
      </w:r>
      <w:r w:rsidR="00FD2D4D">
        <w:rPr>
          <w:rFonts w:cs="Arial"/>
        </w:rPr>
        <w:t xml:space="preserve"> </w:t>
      </w:r>
      <w:r w:rsidRPr="00E53241">
        <w:rPr>
          <w:rFonts w:ascii="Calibri" w:hAnsi="Calibri" w:cs="Calibri"/>
        </w:rPr>
        <w:t xml:space="preserve">de la </w:t>
      </w:r>
      <w:r>
        <w:rPr>
          <w:rFonts w:ascii="Calibri" w:hAnsi="Calibri" w:cs="Calibri"/>
        </w:rPr>
        <w:t>Unidad</w:t>
      </w:r>
      <w:r w:rsidR="00835C5F">
        <w:rPr>
          <w:rFonts w:ascii="Calibri" w:hAnsi="Calibri" w:cs="Calibri"/>
        </w:rPr>
        <w:t xml:space="preserve"> de Auditoria Interna y en consideración </w:t>
      </w:r>
      <w:r w:rsidR="000E5143">
        <w:rPr>
          <w:rFonts w:ascii="Calibri" w:hAnsi="Calibri" w:cs="Calibri"/>
        </w:rPr>
        <w:t xml:space="preserve">de las </w:t>
      </w:r>
      <w:r w:rsidR="005F52EB" w:rsidRPr="0020586F">
        <w:rPr>
          <w:rFonts w:ascii="Calibri" w:hAnsi="Calibri" w:cs="Calibri"/>
          <w:i/>
          <w:sz w:val="20"/>
        </w:rPr>
        <w:t>“</w:t>
      </w:r>
      <w:r w:rsidR="000E5143" w:rsidRPr="0020586F">
        <w:rPr>
          <w:rFonts w:cs="Arial"/>
          <w:i/>
          <w:sz w:val="20"/>
        </w:rPr>
        <w:t>Normas de Auditoría de Confiabilidad de los Registros y Estados Financieros</w:t>
      </w:r>
      <w:r w:rsidR="0020586F" w:rsidRPr="0020586F">
        <w:rPr>
          <w:rFonts w:cs="Arial"/>
          <w:i/>
          <w:sz w:val="20"/>
        </w:rPr>
        <w:t>”</w:t>
      </w:r>
      <w:r w:rsidR="000E5143" w:rsidRPr="004E1BE9">
        <w:rPr>
          <w:rFonts w:cs="Arial"/>
        </w:rPr>
        <w:t xml:space="preserve"> aprobadas mediante Resolución </w:t>
      </w:r>
      <w:r w:rsidR="000E5143" w:rsidRPr="00E31696">
        <w:rPr>
          <w:rFonts w:cs="Arial"/>
          <w:sz w:val="20"/>
        </w:rPr>
        <w:t>N° CGE/073/2021</w:t>
      </w:r>
      <w:r w:rsidR="000E5143" w:rsidRPr="004E1BE9">
        <w:rPr>
          <w:rFonts w:cs="Arial"/>
        </w:rPr>
        <w:t xml:space="preserve"> de fecha 28 de octubre de 2021</w:t>
      </w:r>
      <w:r w:rsidR="000E5143">
        <w:rPr>
          <w:rFonts w:cs="Arial"/>
        </w:rPr>
        <w:t>.</w:t>
      </w:r>
    </w:p>
    <w:p w:rsidR="000E5143" w:rsidRPr="008A56AD" w:rsidRDefault="006151FE" w:rsidP="000E5143">
      <w:pPr>
        <w:spacing w:before="120" w:after="120" w:line="271" w:lineRule="auto"/>
        <w:jc w:val="both"/>
      </w:pPr>
      <w:r w:rsidRPr="008A56AD">
        <w:t xml:space="preserve">El objetivo de la auditoría </w:t>
      </w:r>
      <w:r>
        <w:t>fue</w:t>
      </w:r>
      <w:r w:rsidRPr="008A56AD">
        <w:t xml:space="preserve"> la acumulación y evaluación objetiva de evidencia, con el propósito de emitir un pronunciamiento, sobre la </w:t>
      </w:r>
      <w:r w:rsidRPr="008A56AD">
        <w:rPr>
          <w:rFonts w:cs="Arial"/>
        </w:rPr>
        <w:t>“</w:t>
      </w:r>
      <w:r w:rsidRPr="008A56AD">
        <w:rPr>
          <w:rFonts w:cs="Arial"/>
          <w:i/>
          <w:sz w:val="20"/>
        </w:rPr>
        <w:t>Confiablidad de los Registros y Estados Financieros del Proyecto Sucre Ciudad Universitaria del periodo comprendido entre el 1 de en</w:t>
      </w:r>
      <w:r>
        <w:rPr>
          <w:rFonts w:cs="Arial"/>
          <w:i/>
          <w:sz w:val="20"/>
        </w:rPr>
        <w:t>ero al 31 de diciembre de 202</w:t>
      </w:r>
      <w:r w:rsidR="0020586F">
        <w:rPr>
          <w:rFonts w:cs="Arial"/>
          <w:i/>
          <w:sz w:val="20"/>
        </w:rPr>
        <w:t>4</w:t>
      </w:r>
      <w:r w:rsidRPr="008A56AD">
        <w:rPr>
          <w:rFonts w:cs="Arial"/>
        </w:rPr>
        <w:t>”,</w:t>
      </w:r>
      <w:r w:rsidRPr="008A56AD">
        <w:t xml:space="preserve"> en el marco de las Normas Básicas del Sistema de Contabilidad Integrada.</w:t>
      </w:r>
    </w:p>
    <w:p w:rsidR="00827337" w:rsidRPr="00DF19A3" w:rsidRDefault="0020586F" w:rsidP="00827337">
      <w:pPr>
        <w:spacing w:before="120" w:after="120" w:line="271" w:lineRule="auto"/>
        <w:jc w:val="both"/>
      </w:pPr>
      <w:r w:rsidRPr="00916938">
        <w:t xml:space="preserve">El objeto de la auditoría estuvo constituido por todos aquellos procesos y procedimientos que contribuyeron a la emisión de los Estados Financieros comparativos consolidados al 31 de diciembre de 2024: </w:t>
      </w:r>
      <w:r w:rsidRPr="00916938">
        <w:rPr>
          <w:i/>
          <w:sz w:val="20"/>
        </w:rPr>
        <w:t>“Balance General”</w:t>
      </w:r>
      <w:r w:rsidRPr="00916938">
        <w:t xml:space="preserve">, </w:t>
      </w:r>
      <w:r w:rsidRPr="00916938">
        <w:rPr>
          <w:i/>
          <w:sz w:val="20"/>
        </w:rPr>
        <w:t>“Estado de Recursos y Gastos Corrientes”</w:t>
      </w:r>
      <w:r w:rsidRPr="00916938">
        <w:t xml:space="preserve">, </w:t>
      </w:r>
      <w:r w:rsidRPr="00916938">
        <w:rPr>
          <w:i/>
          <w:sz w:val="20"/>
        </w:rPr>
        <w:t>“Estado de Flujo de Efectivo”</w:t>
      </w:r>
      <w:r w:rsidRPr="00916938">
        <w:t xml:space="preserve">, </w:t>
      </w:r>
      <w:r w:rsidRPr="00916938">
        <w:rPr>
          <w:i/>
          <w:sz w:val="20"/>
        </w:rPr>
        <w:t>“Estado de Cambios en el Patrimonio Neto”</w:t>
      </w:r>
      <w:r w:rsidRPr="00916938">
        <w:t xml:space="preserve">, </w:t>
      </w:r>
      <w:r w:rsidRPr="00916938">
        <w:rPr>
          <w:i/>
          <w:sz w:val="20"/>
        </w:rPr>
        <w:t xml:space="preserve">“Estado de </w:t>
      </w:r>
      <w:r w:rsidRPr="00916938">
        <w:rPr>
          <w:rFonts w:eastAsia="Calibri" w:cs="Calibri"/>
          <w:i/>
          <w:sz w:val="20"/>
        </w:rPr>
        <w:t>Ejecución Presupuestaria de Recursos”</w:t>
      </w:r>
      <w:r w:rsidRPr="00916938">
        <w:rPr>
          <w:rFonts w:eastAsia="Calibri" w:cs="Calibri"/>
        </w:rPr>
        <w:t xml:space="preserve">, </w:t>
      </w:r>
      <w:r w:rsidRPr="00916938">
        <w:rPr>
          <w:rFonts w:eastAsia="Calibri" w:cs="Calibri"/>
          <w:i/>
          <w:sz w:val="20"/>
        </w:rPr>
        <w:t>“Estado de Ejecución Presupuestaria de Gastos”</w:t>
      </w:r>
      <w:r w:rsidRPr="00916938">
        <w:t xml:space="preserve">, </w:t>
      </w:r>
      <w:r w:rsidRPr="00916938">
        <w:rPr>
          <w:i/>
          <w:sz w:val="20"/>
        </w:rPr>
        <w:t>“Cuenta de Ahorro - Inversión – Financiamiento”</w:t>
      </w:r>
      <w:r w:rsidRPr="00916938">
        <w:t xml:space="preserve">, </w:t>
      </w:r>
      <w:r w:rsidRPr="00916938">
        <w:rPr>
          <w:i/>
          <w:sz w:val="20"/>
          <w:szCs w:val="20"/>
        </w:rPr>
        <w:t>“Estados de Cuenta o Información Complementaria (Notas a los Estados Financieros)”</w:t>
      </w:r>
      <w:r w:rsidRPr="00916938">
        <w:t>; y los controles internos incorporados a ellos.</w:t>
      </w:r>
    </w:p>
    <w:p w:rsidR="00827337" w:rsidRDefault="0020586F" w:rsidP="00827337">
      <w:pPr>
        <w:tabs>
          <w:tab w:val="left" w:pos="2410"/>
        </w:tabs>
        <w:spacing w:before="80" w:after="80" w:line="271" w:lineRule="auto"/>
        <w:jc w:val="both"/>
      </w:pPr>
      <w:r w:rsidRPr="00261F99">
        <w:t>Producto del análisis efectuado a las variaciones horizontales y verticales significati</w:t>
      </w:r>
      <w:r>
        <w:t>vas de los Estados Financieros,</w:t>
      </w:r>
      <w:r w:rsidRPr="00261F99">
        <w:t xml:space="preserve"> de las cuentas contables sin movimiento o con va</w:t>
      </w:r>
      <w:r>
        <w:t>riación significativa</w:t>
      </w:r>
      <w:r w:rsidRPr="00261F99">
        <w:t xml:space="preserve"> y en consideración de los resultados de la evaluación del control interno, se identific</w:t>
      </w:r>
      <w:r>
        <w:t>ó</w:t>
      </w:r>
      <w:r w:rsidRPr="00261F99">
        <w:t xml:space="preserve"> las </w:t>
      </w:r>
      <w:r w:rsidRPr="00261F99">
        <w:rPr>
          <w:i/>
          <w:sz w:val="20"/>
        </w:rPr>
        <w:t>“áreas críticas”</w:t>
      </w:r>
      <w:r w:rsidRPr="00261F99">
        <w:t xml:space="preserve">; en ese entendido, se consideró para su revisión, el rubro del </w:t>
      </w:r>
      <w:r w:rsidRPr="00261F99">
        <w:rPr>
          <w:i/>
          <w:sz w:val="20"/>
        </w:rPr>
        <w:t>“Disponible”</w:t>
      </w:r>
      <w:r w:rsidRPr="00261F99">
        <w:t xml:space="preserve"> como parte del Balance General y las cuentas que corresponden a los Gastos Corrientes: Sueldos y Salarios, Aportes Patronales y Beneficios Sociales, contenidos en el Estado de Recursos y Gastos Corrientes; se determinó también, la revisión de las partidas presupuestarias relacionadas con los rubros sujetos a examen y toda la documentación de respaldo correspondiente.</w:t>
      </w:r>
    </w:p>
    <w:p w:rsidR="0044550B" w:rsidRDefault="0020586F" w:rsidP="000E5143">
      <w:pPr>
        <w:tabs>
          <w:tab w:val="left" w:pos="2410"/>
        </w:tabs>
        <w:spacing w:before="80" w:after="80" w:line="271" w:lineRule="auto"/>
        <w:jc w:val="both"/>
        <w:rPr>
          <w:rFonts w:cs="Calibri"/>
        </w:rPr>
      </w:pPr>
      <w:r w:rsidRPr="00C7074D">
        <w:t xml:space="preserve">Se aclara que son dos los informes que se emiten producto de la auditoría de </w:t>
      </w:r>
      <w:r w:rsidRPr="00C7074D">
        <w:rPr>
          <w:rFonts w:cs="Arial"/>
        </w:rPr>
        <w:t>“</w:t>
      </w:r>
      <w:r w:rsidRPr="00C7074D">
        <w:rPr>
          <w:rFonts w:cs="Arial"/>
          <w:i/>
          <w:sz w:val="20"/>
        </w:rPr>
        <w:t>Confiablidad de los Registros y Estados Financieros del Proyecto Sucre Ciudad Universitaria del periodo comprendido entre el 1 de enero al 31 de diciembre de 2024</w:t>
      </w:r>
      <w:r w:rsidRPr="00C7074D">
        <w:rPr>
          <w:rFonts w:cs="Arial"/>
        </w:rPr>
        <w:t>”</w:t>
      </w:r>
      <w:r w:rsidRPr="00C7074D">
        <w:t>; en el presente informe</w:t>
      </w:r>
      <w:r>
        <w:t>,</w:t>
      </w:r>
      <w:r w:rsidRPr="00C7074D">
        <w:t xml:space="preserve"> se reporta el pronunciamiento sobre la confiabilidad de los </w:t>
      </w:r>
      <w:r w:rsidRPr="00C7074D">
        <w:rPr>
          <w:i/>
          <w:sz w:val="20"/>
        </w:rPr>
        <w:t>“Estados Financieros”</w:t>
      </w:r>
      <w:r w:rsidRPr="00C7074D">
        <w:t xml:space="preserve">, así como las deficiencias de control interno emergentes de la evaluación de la confiabilidad de los </w:t>
      </w:r>
      <w:r w:rsidRPr="00C7074D">
        <w:rPr>
          <w:i/>
          <w:sz w:val="20"/>
        </w:rPr>
        <w:t>“Estados Financieros”</w:t>
      </w:r>
      <w:r w:rsidRPr="00C7074D">
        <w:t xml:space="preserve"> y; en el otro informe, se emitió el pronunciamiento sobre la confiabilidad de los </w:t>
      </w:r>
      <w:r w:rsidRPr="00C7074D">
        <w:rPr>
          <w:i/>
          <w:sz w:val="20"/>
        </w:rPr>
        <w:t>“Registros”</w:t>
      </w:r>
      <w:r w:rsidRPr="00C7074D">
        <w:t xml:space="preserve">, así como las deficiencias de control interno resultantes de la evaluación de la confiabilidad de los </w:t>
      </w:r>
      <w:r w:rsidRPr="00C7074D">
        <w:rPr>
          <w:i/>
          <w:sz w:val="20"/>
        </w:rPr>
        <w:t>“Registros”</w:t>
      </w:r>
      <w:r w:rsidRPr="00C7074D">
        <w:t>.</w:t>
      </w:r>
    </w:p>
    <w:p w:rsidR="0020586F" w:rsidRDefault="0020586F" w:rsidP="003F1A54">
      <w:pPr>
        <w:tabs>
          <w:tab w:val="left" w:pos="2410"/>
        </w:tabs>
        <w:spacing w:before="120" w:after="240" w:line="271" w:lineRule="auto"/>
        <w:jc w:val="both"/>
        <w:rPr>
          <w:rFonts w:ascii="Calibri" w:hAnsi="Calibri" w:cs="Calibri"/>
        </w:rPr>
      </w:pPr>
    </w:p>
    <w:p w:rsidR="003F1A54" w:rsidRPr="003F1A54" w:rsidRDefault="007F33D8" w:rsidP="003F1A54">
      <w:pPr>
        <w:tabs>
          <w:tab w:val="left" w:pos="2410"/>
        </w:tabs>
        <w:spacing w:before="120" w:after="240" w:line="271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Como resultado del examen realizado se identific</w:t>
      </w:r>
      <w:r w:rsidR="0020586F">
        <w:rPr>
          <w:rFonts w:ascii="Calibri" w:hAnsi="Calibri" w:cs="Calibri"/>
        </w:rPr>
        <w:t>ó</w:t>
      </w:r>
      <w:r>
        <w:rPr>
          <w:rFonts w:ascii="Calibri" w:hAnsi="Calibri" w:cs="Calibri"/>
        </w:rPr>
        <w:t xml:space="preserve"> las siguientes deficiencias de control interno, habiéndose emitido las recomendaciones </w:t>
      </w:r>
      <w:r w:rsidR="00F0129B">
        <w:rPr>
          <w:rFonts w:ascii="Calibri" w:hAnsi="Calibri" w:cs="Calibri"/>
        </w:rPr>
        <w:t>para subsanar las mismas:</w:t>
      </w:r>
    </w:p>
    <w:p w:rsidR="006151FE" w:rsidRPr="006151FE" w:rsidRDefault="0020586F" w:rsidP="006151FE">
      <w:pPr>
        <w:pStyle w:val="Prrafodelista"/>
        <w:numPr>
          <w:ilvl w:val="0"/>
          <w:numId w:val="21"/>
        </w:numPr>
        <w:tabs>
          <w:tab w:val="left" w:pos="426"/>
          <w:tab w:val="right" w:pos="8505"/>
        </w:tabs>
        <w:spacing w:before="360" w:after="120"/>
        <w:ind w:left="426" w:hanging="284"/>
        <w:contextualSpacing w:val="0"/>
        <w:jc w:val="both"/>
        <w:outlineLvl w:val="0"/>
        <w:rPr>
          <w:rFonts w:cs="Calibri"/>
          <w:sz w:val="18"/>
          <w:szCs w:val="18"/>
        </w:rPr>
      </w:pPr>
      <w:r>
        <w:rPr>
          <w:sz w:val="18"/>
          <w:lang w:val="es-ES"/>
        </w:rPr>
        <w:t>FALTA DE CONCILIACIÓN DE SALDOS ENTRE EL GOBIERNO AUTÓNOMO DEPARTAMENTAL DE CHUQUISACA</w:t>
      </w:r>
      <w:r>
        <w:rPr>
          <w:sz w:val="18"/>
          <w:lang w:val="es-ES"/>
        </w:rPr>
        <w:t xml:space="preserve"> </w:t>
      </w:r>
      <w:r>
        <w:rPr>
          <w:sz w:val="18"/>
          <w:lang w:val="es-ES"/>
        </w:rPr>
        <w:t>Y LA ENTIDAD</w:t>
      </w:r>
    </w:p>
    <w:p w:rsidR="006151FE" w:rsidRDefault="0020586F" w:rsidP="006151FE">
      <w:pPr>
        <w:pStyle w:val="Prrafodelista"/>
        <w:numPr>
          <w:ilvl w:val="0"/>
          <w:numId w:val="21"/>
        </w:numPr>
        <w:tabs>
          <w:tab w:val="left" w:pos="426"/>
          <w:tab w:val="right" w:pos="8505"/>
        </w:tabs>
        <w:spacing w:before="120" w:after="120"/>
        <w:ind w:left="426" w:hanging="284"/>
        <w:contextualSpacing w:val="0"/>
        <w:jc w:val="both"/>
        <w:outlineLvl w:val="0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>INAPLICABILIDAD DEL MANUAL DE PROCEDIMIENTOS RELACIONADOS CON EL PAGO DE SUELDOS</w:t>
      </w:r>
    </w:p>
    <w:p w:rsidR="006151FE" w:rsidRDefault="0020586F" w:rsidP="006151FE">
      <w:pPr>
        <w:pStyle w:val="Prrafodelista"/>
        <w:numPr>
          <w:ilvl w:val="0"/>
          <w:numId w:val="21"/>
        </w:numPr>
        <w:tabs>
          <w:tab w:val="left" w:pos="426"/>
          <w:tab w:val="right" w:pos="8505"/>
        </w:tabs>
        <w:spacing w:before="120" w:after="120"/>
        <w:ind w:left="426" w:hanging="284"/>
        <w:contextualSpacing w:val="0"/>
        <w:jc w:val="both"/>
        <w:outlineLvl w:val="0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>INEXISTENCIA DE PROCEDIMIENTOS FORMALMENTE ESTABLECIDOS EN RELACIÓN A LA VERIFICACIÓN</w:t>
      </w:r>
      <w:r>
        <w:rPr>
          <w:rFonts w:cs="Calibri"/>
          <w:sz w:val="18"/>
          <w:szCs w:val="18"/>
        </w:rPr>
        <w:t xml:space="preserve"> </w:t>
      </w:r>
      <w:r>
        <w:rPr>
          <w:rFonts w:cs="Calibri"/>
          <w:sz w:val="18"/>
          <w:szCs w:val="18"/>
        </w:rPr>
        <w:t>DE LA VERACIDAD, REGISTRO, CONTROL, SEGUIMIENTO Y EVALUACIÓN DE LOS DATOS LIQUIDADOS</w:t>
      </w:r>
      <w:r>
        <w:rPr>
          <w:rFonts w:cs="Calibri"/>
          <w:sz w:val="18"/>
          <w:szCs w:val="18"/>
        </w:rPr>
        <w:t xml:space="preserve"> </w:t>
      </w:r>
      <w:r>
        <w:rPr>
          <w:rFonts w:cs="Calibri"/>
          <w:sz w:val="18"/>
          <w:szCs w:val="18"/>
        </w:rPr>
        <w:t>EN LAS PLANILLAS SALARIALES Y LOS REGISTROS INDIVIDUALES DE CADA EMPELADO</w:t>
      </w:r>
    </w:p>
    <w:p w:rsidR="00BD04FD" w:rsidRDefault="00BD04FD" w:rsidP="006151FE">
      <w:pPr>
        <w:spacing w:before="720" w:after="120"/>
      </w:pPr>
      <w:r>
        <w:rPr>
          <w:sz w:val="16"/>
        </w:rPr>
        <w:t xml:space="preserve">Sucre, </w:t>
      </w:r>
      <w:r w:rsidR="00827337">
        <w:rPr>
          <w:sz w:val="16"/>
        </w:rPr>
        <w:t>febrero</w:t>
      </w:r>
      <w:r>
        <w:rPr>
          <w:sz w:val="16"/>
        </w:rPr>
        <w:t xml:space="preserve"> de 202</w:t>
      </w:r>
      <w:r w:rsidR="0020586F">
        <w:rPr>
          <w:sz w:val="16"/>
        </w:rPr>
        <w:t>5</w:t>
      </w:r>
      <w:bookmarkStart w:id="0" w:name="_GoBack"/>
      <w:bookmarkEnd w:id="0"/>
    </w:p>
    <w:sectPr w:rsidR="00BD04FD" w:rsidSect="0020586F">
      <w:headerReference w:type="default" r:id="rId8"/>
      <w:pgSz w:w="12242" w:h="15842" w:code="1"/>
      <w:pgMar w:top="1701" w:right="1644" w:bottom="1418" w:left="1985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5ADE" w:rsidRDefault="00C25ADE" w:rsidP="00D2589B">
      <w:pPr>
        <w:spacing w:after="0" w:line="240" w:lineRule="auto"/>
      </w:pPr>
      <w:r>
        <w:separator/>
      </w:r>
    </w:p>
  </w:endnote>
  <w:endnote w:type="continuationSeparator" w:id="0">
    <w:p w:rsidR="00C25ADE" w:rsidRDefault="00C25ADE" w:rsidP="00D258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5ADE" w:rsidRDefault="00C25ADE" w:rsidP="00D2589B">
      <w:pPr>
        <w:spacing w:after="0" w:line="240" w:lineRule="auto"/>
      </w:pPr>
      <w:r>
        <w:separator/>
      </w:r>
    </w:p>
  </w:footnote>
  <w:footnote w:type="continuationSeparator" w:id="0">
    <w:p w:rsidR="00C25ADE" w:rsidRDefault="00C25ADE" w:rsidP="00D258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589B" w:rsidRPr="00E84C2B" w:rsidRDefault="00D2589B" w:rsidP="00D2589B">
    <w:pPr>
      <w:pStyle w:val="Piedepgina"/>
      <w:jc w:val="right"/>
      <w:rPr>
        <w:b/>
        <w:sz w:val="16"/>
        <w:szCs w:val="16"/>
        <w:lang w:val="es-ES"/>
      </w:rPr>
    </w:pPr>
    <w:r>
      <w:rPr>
        <w:noProof/>
        <w:sz w:val="24"/>
        <w:szCs w:val="24"/>
        <w:lang w:val="es-ES" w:eastAsia="es-ES"/>
      </w:rPr>
      <w:drawing>
        <wp:anchor distT="0" distB="0" distL="114300" distR="114300" simplePos="0" relativeHeight="251664896" behindDoc="0" locked="0" layoutInCell="1" allowOverlap="1" wp14:anchorId="0715883F" wp14:editId="60187F06">
          <wp:simplePos x="0" y="0"/>
          <wp:positionH relativeFrom="column">
            <wp:posOffset>-3810</wp:posOffset>
          </wp:positionH>
          <wp:positionV relativeFrom="paragraph">
            <wp:posOffset>6985</wp:posOffset>
          </wp:positionV>
          <wp:extent cx="476250" cy="365919"/>
          <wp:effectExtent l="0" t="0" r="0" b="0"/>
          <wp:wrapNone/>
          <wp:docPr id="1" name="Imagen 1" descr="H:\LOGO PSCU.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H:\LOGO PSCU.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8375" cy="3675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5724E" w:rsidRDefault="0085724E" w:rsidP="00D2589B">
    <w:pPr>
      <w:pStyle w:val="Piedepgina"/>
      <w:jc w:val="right"/>
      <w:rPr>
        <w:b/>
        <w:sz w:val="20"/>
        <w:szCs w:val="20"/>
        <w:lang w:val="es-ES"/>
      </w:rPr>
    </w:pPr>
  </w:p>
  <w:p w:rsidR="0085724E" w:rsidRPr="00E84C2B" w:rsidRDefault="00BD04FD" w:rsidP="00D2589B">
    <w:pPr>
      <w:pStyle w:val="Piedepgina"/>
      <w:jc w:val="right"/>
      <w:rPr>
        <w:b/>
        <w:sz w:val="20"/>
        <w:szCs w:val="20"/>
        <w:lang w:val="es-ES"/>
      </w:rPr>
    </w:pPr>
    <w:r>
      <w:rPr>
        <w:noProof/>
        <w:sz w:val="24"/>
        <w:szCs w:val="24"/>
        <w:lang w:val="es-ES" w:eastAsia="es-ES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1B4E2A47" wp14:editId="20B89BBE">
              <wp:simplePos x="0" y="0"/>
              <wp:positionH relativeFrom="column">
                <wp:posOffset>-78105</wp:posOffset>
              </wp:positionH>
              <wp:positionV relativeFrom="paragraph">
                <wp:posOffset>147955</wp:posOffset>
              </wp:positionV>
              <wp:extent cx="2419985" cy="323850"/>
              <wp:effectExtent l="0" t="0" r="18415" b="19050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9985" cy="323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2589B" w:rsidRPr="00854F19" w:rsidRDefault="00D2589B" w:rsidP="00D2589B">
                          <w:pPr>
                            <w:spacing w:after="0" w:line="240" w:lineRule="auto"/>
                            <w:rPr>
                              <w:rFonts w:ascii="Bodoni MT" w:eastAsia="BatangChe" w:hAnsi="Bodoni MT" w:cs="Andalus"/>
                              <w:b/>
                              <w:sz w:val="15"/>
                              <w:szCs w:val="15"/>
                              <w:lang w:val="es-ES"/>
                            </w:rPr>
                          </w:pPr>
                          <w:r w:rsidRPr="00854F19">
                            <w:rPr>
                              <w:rFonts w:ascii="Bodoni MT" w:eastAsia="BatangChe" w:hAnsi="Bodoni MT" w:cs="Andalus"/>
                              <w:b/>
                              <w:sz w:val="15"/>
                              <w:szCs w:val="15"/>
                              <w:lang w:val="es-ES"/>
                            </w:rPr>
                            <w:t>PROYECTO SUCRE CIUDAD UNIVERSITARIA</w:t>
                          </w:r>
                        </w:p>
                        <w:p w:rsidR="00D2589B" w:rsidRPr="00854F19" w:rsidRDefault="00D2589B" w:rsidP="00D2589B">
                          <w:pPr>
                            <w:spacing w:after="0" w:line="240" w:lineRule="auto"/>
                            <w:rPr>
                              <w:rFonts w:ascii="Bodoni MT" w:hAnsi="Bodoni MT" w:cs="Andalus"/>
                              <w:b/>
                              <w:sz w:val="15"/>
                              <w:szCs w:val="15"/>
                              <w:lang w:val="es-ES"/>
                            </w:rPr>
                          </w:pPr>
                          <w:r w:rsidRPr="00854F19">
                            <w:rPr>
                              <w:rFonts w:ascii="Bodoni MT" w:hAnsi="Bodoni MT" w:cs="Andalus"/>
                              <w:b/>
                              <w:sz w:val="15"/>
                              <w:szCs w:val="15"/>
                              <w:lang w:val="es-ES"/>
                            </w:rPr>
                            <w:t>UNIDAD DE AUDITORIA INTERNA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4E2A47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left:0;text-align:left;margin-left:-6.15pt;margin-top:11.65pt;width:190.55pt;height:25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" strokecolor="white [3212]">
              <v:textbox>
                <w:txbxContent>
                  <w:p w:rsidR="00D2589B" w:rsidRPr="00854F19" w:rsidRDefault="00D2589B" w:rsidP="00D2589B">
                    <w:pPr>
                      <w:spacing w:after="0" w:line="240" w:lineRule="auto"/>
                      <w:rPr>
                        <w:rFonts w:ascii="Bodoni MT" w:eastAsia="BatangChe" w:hAnsi="Bodoni MT" w:cs="Andalus"/>
                        <w:b/>
                        <w:sz w:val="15"/>
                        <w:szCs w:val="15"/>
                        <w:lang w:val="es-ES"/>
                      </w:rPr>
                    </w:pPr>
                    <w:r w:rsidRPr="00854F19">
                      <w:rPr>
                        <w:rFonts w:ascii="Bodoni MT" w:eastAsia="BatangChe" w:hAnsi="Bodoni MT" w:cs="Andalus"/>
                        <w:b/>
                        <w:sz w:val="15"/>
                        <w:szCs w:val="15"/>
                        <w:lang w:val="es-ES"/>
                      </w:rPr>
                      <w:t>PROYECTO SUCRE CIUDAD UNIVERSITARIA</w:t>
                    </w:r>
                  </w:p>
                  <w:p w:rsidR="00D2589B" w:rsidRPr="00854F19" w:rsidRDefault="00D2589B" w:rsidP="00D2589B">
                    <w:pPr>
                      <w:spacing w:after="0" w:line="240" w:lineRule="auto"/>
                      <w:rPr>
                        <w:rFonts w:ascii="Bodoni MT" w:hAnsi="Bodoni MT" w:cs="Andalus"/>
                        <w:b/>
                        <w:sz w:val="15"/>
                        <w:szCs w:val="15"/>
                        <w:lang w:val="es-ES"/>
                      </w:rPr>
                    </w:pPr>
                    <w:r w:rsidRPr="00854F19">
                      <w:rPr>
                        <w:rFonts w:ascii="Bodoni MT" w:hAnsi="Bodoni MT" w:cs="Andalus"/>
                        <w:b/>
                        <w:sz w:val="15"/>
                        <w:szCs w:val="15"/>
                        <w:lang w:val="es-ES"/>
                      </w:rPr>
                      <w:t>UNIDAD DE AUDITORIA INTERNA</w:t>
                    </w:r>
                  </w:p>
                </w:txbxContent>
              </v:textbox>
            </v:shape>
          </w:pict>
        </mc:Fallback>
      </mc:AlternateContent>
    </w:r>
  </w:p>
  <w:p w:rsidR="00D2589B" w:rsidRDefault="00D2589B" w:rsidP="00D2589B">
    <w:pPr>
      <w:pStyle w:val="Piedepgina"/>
      <w:rPr>
        <w:lang w:val="es-ES"/>
      </w:rPr>
    </w:pPr>
  </w:p>
  <w:p w:rsidR="00BD04FD" w:rsidRDefault="00BD04FD" w:rsidP="00D2589B">
    <w:pPr>
      <w:pStyle w:val="Piedepgina"/>
      <w:rPr>
        <w:lang w:val="es-ES"/>
      </w:rPr>
    </w:pPr>
  </w:p>
  <w:p w:rsidR="00D2589B" w:rsidRPr="009F6F5E" w:rsidRDefault="00BD04FD" w:rsidP="00D2589B">
    <w:pPr>
      <w:pStyle w:val="Piedepgina"/>
      <w:rPr>
        <w:lang w:val="es-ES"/>
      </w:rPr>
    </w:pPr>
    <w:r>
      <w:rPr>
        <w:b/>
        <w:noProof/>
        <w:sz w:val="20"/>
        <w:szCs w:val="20"/>
        <w:lang w:val="es-ES" w:eastAsia="es-ES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6B1F21AE" wp14:editId="245BF37E">
              <wp:simplePos x="0" y="0"/>
              <wp:positionH relativeFrom="column">
                <wp:posOffset>59690</wp:posOffset>
              </wp:positionH>
              <wp:positionV relativeFrom="paragraph">
                <wp:posOffset>67945</wp:posOffset>
              </wp:positionV>
              <wp:extent cx="5448300" cy="0"/>
              <wp:effectExtent l="0" t="0" r="19050" b="19050"/>
              <wp:wrapNone/>
              <wp:docPr id="2" name="Conector recto de flech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483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B477F5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2" o:spid="_x0000_s1026" type="#_x0000_t32" style="position:absolute;margin-left:4.7pt;margin-top:5.35pt;width:429pt;height:0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622228"/>
    <w:multiLevelType w:val="hybridMultilevel"/>
    <w:tmpl w:val="4AF64208"/>
    <w:lvl w:ilvl="0" w:tplc="3B6E36D0">
      <w:start w:val="59"/>
      <w:numFmt w:val="bullet"/>
      <w:lvlText w:val="-"/>
      <w:lvlJc w:val="left"/>
      <w:pPr>
        <w:ind w:left="1069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1B327BF5"/>
    <w:multiLevelType w:val="hybridMultilevel"/>
    <w:tmpl w:val="6E10E886"/>
    <w:lvl w:ilvl="0" w:tplc="F4809546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1E6B0D"/>
    <w:multiLevelType w:val="hybridMultilevel"/>
    <w:tmpl w:val="6B8E83CC"/>
    <w:lvl w:ilvl="0" w:tplc="E3523CF8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5" w:hanging="360"/>
      </w:pPr>
    </w:lvl>
    <w:lvl w:ilvl="2" w:tplc="0C0A001B" w:tentative="1">
      <w:start w:val="1"/>
      <w:numFmt w:val="lowerRoman"/>
      <w:lvlText w:val="%3."/>
      <w:lvlJc w:val="right"/>
      <w:pPr>
        <w:ind w:left="2225" w:hanging="180"/>
      </w:pPr>
    </w:lvl>
    <w:lvl w:ilvl="3" w:tplc="0C0A000F" w:tentative="1">
      <w:start w:val="1"/>
      <w:numFmt w:val="decimal"/>
      <w:lvlText w:val="%4."/>
      <w:lvlJc w:val="left"/>
      <w:pPr>
        <w:ind w:left="2945" w:hanging="360"/>
      </w:pPr>
    </w:lvl>
    <w:lvl w:ilvl="4" w:tplc="0C0A0019" w:tentative="1">
      <w:start w:val="1"/>
      <w:numFmt w:val="lowerLetter"/>
      <w:lvlText w:val="%5."/>
      <w:lvlJc w:val="left"/>
      <w:pPr>
        <w:ind w:left="3665" w:hanging="360"/>
      </w:pPr>
    </w:lvl>
    <w:lvl w:ilvl="5" w:tplc="0C0A001B" w:tentative="1">
      <w:start w:val="1"/>
      <w:numFmt w:val="lowerRoman"/>
      <w:lvlText w:val="%6."/>
      <w:lvlJc w:val="right"/>
      <w:pPr>
        <w:ind w:left="4385" w:hanging="180"/>
      </w:pPr>
    </w:lvl>
    <w:lvl w:ilvl="6" w:tplc="0C0A000F" w:tentative="1">
      <w:start w:val="1"/>
      <w:numFmt w:val="decimal"/>
      <w:lvlText w:val="%7."/>
      <w:lvlJc w:val="left"/>
      <w:pPr>
        <w:ind w:left="5105" w:hanging="360"/>
      </w:pPr>
    </w:lvl>
    <w:lvl w:ilvl="7" w:tplc="0C0A0019" w:tentative="1">
      <w:start w:val="1"/>
      <w:numFmt w:val="lowerLetter"/>
      <w:lvlText w:val="%8."/>
      <w:lvlJc w:val="left"/>
      <w:pPr>
        <w:ind w:left="5825" w:hanging="360"/>
      </w:pPr>
    </w:lvl>
    <w:lvl w:ilvl="8" w:tplc="0C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>
    <w:nsid w:val="24BA2DC3"/>
    <w:multiLevelType w:val="multilevel"/>
    <w:tmpl w:val="17F449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6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83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440"/>
      </w:pPr>
      <w:rPr>
        <w:rFonts w:hint="default"/>
      </w:rPr>
    </w:lvl>
  </w:abstractNum>
  <w:abstractNum w:abstractNumId="4">
    <w:nsid w:val="288356B3"/>
    <w:multiLevelType w:val="hybridMultilevel"/>
    <w:tmpl w:val="64DE38FE"/>
    <w:lvl w:ilvl="0" w:tplc="ADF89A2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2E4EAD"/>
    <w:multiLevelType w:val="hybridMultilevel"/>
    <w:tmpl w:val="14625814"/>
    <w:lvl w:ilvl="0" w:tplc="687019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3F482C"/>
    <w:multiLevelType w:val="hybridMultilevel"/>
    <w:tmpl w:val="19F4241A"/>
    <w:lvl w:ilvl="0" w:tplc="4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824090E"/>
    <w:multiLevelType w:val="hybridMultilevel"/>
    <w:tmpl w:val="1AF8F718"/>
    <w:lvl w:ilvl="0" w:tplc="E27C677C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6761CA"/>
    <w:multiLevelType w:val="hybridMultilevel"/>
    <w:tmpl w:val="C004CC62"/>
    <w:lvl w:ilvl="0" w:tplc="ABF8C888">
      <w:start w:val="1"/>
      <w:numFmt w:val="decimal"/>
      <w:lvlText w:val="%1."/>
      <w:lvlJc w:val="left"/>
      <w:pPr>
        <w:ind w:left="1080" w:hanging="360"/>
      </w:pPr>
      <w:rPr>
        <w:rFonts w:hint="default"/>
        <w:sz w:val="2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B95A6E"/>
    <w:multiLevelType w:val="hybridMultilevel"/>
    <w:tmpl w:val="E54C49B6"/>
    <w:lvl w:ilvl="0" w:tplc="332431D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117B49"/>
    <w:multiLevelType w:val="hybridMultilevel"/>
    <w:tmpl w:val="E190F30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8B207D"/>
    <w:multiLevelType w:val="hybridMultilevel"/>
    <w:tmpl w:val="2F8C6438"/>
    <w:lvl w:ilvl="0" w:tplc="9C9222A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C27E62"/>
    <w:multiLevelType w:val="hybridMultilevel"/>
    <w:tmpl w:val="292240F6"/>
    <w:lvl w:ilvl="0" w:tplc="0C0A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54" w:hanging="360"/>
      </w:pPr>
    </w:lvl>
    <w:lvl w:ilvl="2" w:tplc="0C0A001B" w:tentative="1">
      <w:start w:val="1"/>
      <w:numFmt w:val="lowerRoman"/>
      <w:lvlText w:val="%3."/>
      <w:lvlJc w:val="right"/>
      <w:pPr>
        <w:ind w:left="2874" w:hanging="180"/>
      </w:pPr>
    </w:lvl>
    <w:lvl w:ilvl="3" w:tplc="0C0A000F" w:tentative="1">
      <w:start w:val="1"/>
      <w:numFmt w:val="decimal"/>
      <w:lvlText w:val="%4."/>
      <w:lvlJc w:val="left"/>
      <w:pPr>
        <w:ind w:left="3594" w:hanging="360"/>
      </w:pPr>
    </w:lvl>
    <w:lvl w:ilvl="4" w:tplc="0C0A0019" w:tentative="1">
      <w:start w:val="1"/>
      <w:numFmt w:val="lowerLetter"/>
      <w:lvlText w:val="%5."/>
      <w:lvlJc w:val="left"/>
      <w:pPr>
        <w:ind w:left="4314" w:hanging="360"/>
      </w:pPr>
    </w:lvl>
    <w:lvl w:ilvl="5" w:tplc="0C0A001B" w:tentative="1">
      <w:start w:val="1"/>
      <w:numFmt w:val="lowerRoman"/>
      <w:lvlText w:val="%6."/>
      <w:lvlJc w:val="right"/>
      <w:pPr>
        <w:ind w:left="5034" w:hanging="180"/>
      </w:pPr>
    </w:lvl>
    <w:lvl w:ilvl="6" w:tplc="0C0A000F" w:tentative="1">
      <w:start w:val="1"/>
      <w:numFmt w:val="decimal"/>
      <w:lvlText w:val="%7."/>
      <w:lvlJc w:val="left"/>
      <w:pPr>
        <w:ind w:left="5754" w:hanging="360"/>
      </w:pPr>
    </w:lvl>
    <w:lvl w:ilvl="7" w:tplc="0C0A0019" w:tentative="1">
      <w:start w:val="1"/>
      <w:numFmt w:val="lowerLetter"/>
      <w:lvlText w:val="%8."/>
      <w:lvlJc w:val="left"/>
      <w:pPr>
        <w:ind w:left="6474" w:hanging="360"/>
      </w:pPr>
    </w:lvl>
    <w:lvl w:ilvl="8" w:tplc="0C0A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3">
    <w:nsid w:val="5BCE3A68"/>
    <w:multiLevelType w:val="hybridMultilevel"/>
    <w:tmpl w:val="DDD84230"/>
    <w:lvl w:ilvl="0" w:tplc="D7FA4BF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 w:val="0"/>
        <w:i w:val="0"/>
        <w:sz w:val="2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D63B62"/>
    <w:multiLevelType w:val="hybridMultilevel"/>
    <w:tmpl w:val="C5BE9B32"/>
    <w:lvl w:ilvl="0" w:tplc="7B90B3AE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AC3A02"/>
    <w:multiLevelType w:val="hybridMultilevel"/>
    <w:tmpl w:val="3D7E95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3B2614"/>
    <w:multiLevelType w:val="hybridMultilevel"/>
    <w:tmpl w:val="E190F30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2C6B19"/>
    <w:multiLevelType w:val="hybridMultilevel"/>
    <w:tmpl w:val="DCA65D7A"/>
    <w:lvl w:ilvl="0" w:tplc="AFBC2E76">
      <w:start w:val="1"/>
      <w:numFmt w:val="decimal"/>
      <w:lvlText w:val="%1."/>
      <w:lvlJc w:val="left"/>
      <w:pPr>
        <w:ind w:left="1080" w:hanging="360"/>
      </w:pPr>
      <w:rPr>
        <w:rFonts w:hint="default"/>
        <w:sz w:val="2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E61477"/>
    <w:multiLevelType w:val="hybridMultilevel"/>
    <w:tmpl w:val="B74ED87E"/>
    <w:lvl w:ilvl="0" w:tplc="2C40E89E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E72321"/>
    <w:multiLevelType w:val="hybridMultilevel"/>
    <w:tmpl w:val="A83465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1C6E83"/>
    <w:multiLevelType w:val="hybridMultilevel"/>
    <w:tmpl w:val="B90ED3F4"/>
    <w:lvl w:ilvl="0" w:tplc="5CC4403C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EE5F40"/>
    <w:multiLevelType w:val="hybridMultilevel"/>
    <w:tmpl w:val="CDD01EC4"/>
    <w:lvl w:ilvl="0" w:tplc="6F2ED3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5"/>
  </w:num>
  <w:num w:numId="3">
    <w:abstractNumId w:val="7"/>
  </w:num>
  <w:num w:numId="4">
    <w:abstractNumId w:val="13"/>
  </w:num>
  <w:num w:numId="5">
    <w:abstractNumId w:val="1"/>
  </w:num>
  <w:num w:numId="6">
    <w:abstractNumId w:val="14"/>
  </w:num>
  <w:num w:numId="7">
    <w:abstractNumId w:val="9"/>
  </w:num>
  <w:num w:numId="8">
    <w:abstractNumId w:val="17"/>
  </w:num>
  <w:num w:numId="9">
    <w:abstractNumId w:val="8"/>
  </w:num>
  <w:num w:numId="10">
    <w:abstractNumId w:val="11"/>
  </w:num>
  <w:num w:numId="11">
    <w:abstractNumId w:val="6"/>
  </w:num>
  <w:num w:numId="12">
    <w:abstractNumId w:val="20"/>
  </w:num>
  <w:num w:numId="13">
    <w:abstractNumId w:val="4"/>
  </w:num>
  <w:num w:numId="14">
    <w:abstractNumId w:val="18"/>
  </w:num>
  <w:num w:numId="15">
    <w:abstractNumId w:val="15"/>
  </w:num>
  <w:num w:numId="16">
    <w:abstractNumId w:val="19"/>
  </w:num>
  <w:num w:numId="17">
    <w:abstractNumId w:val="0"/>
  </w:num>
  <w:num w:numId="18">
    <w:abstractNumId w:val="3"/>
  </w:num>
  <w:num w:numId="19">
    <w:abstractNumId w:val="2"/>
  </w:num>
  <w:num w:numId="20">
    <w:abstractNumId w:val="12"/>
  </w:num>
  <w:num w:numId="21">
    <w:abstractNumId w:val="10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89B"/>
    <w:rsid w:val="0001445F"/>
    <w:rsid w:val="0009130D"/>
    <w:rsid w:val="000E5143"/>
    <w:rsid w:val="001D202B"/>
    <w:rsid w:val="0020586F"/>
    <w:rsid w:val="002813A4"/>
    <w:rsid w:val="002C0A6B"/>
    <w:rsid w:val="002C32FF"/>
    <w:rsid w:val="00300EA9"/>
    <w:rsid w:val="00336FA2"/>
    <w:rsid w:val="00351824"/>
    <w:rsid w:val="00370EDB"/>
    <w:rsid w:val="003F1A54"/>
    <w:rsid w:val="00416620"/>
    <w:rsid w:val="0044550B"/>
    <w:rsid w:val="0044647A"/>
    <w:rsid w:val="00483114"/>
    <w:rsid w:val="00485251"/>
    <w:rsid w:val="00493028"/>
    <w:rsid w:val="004B65BB"/>
    <w:rsid w:val="004E114C"/>
    <w:rsid w:val="00510C14"/>
    <w:rsid w:val="00580A6C"/>
    <w:rsid w:val="005A178C"/>
    <w:rsid w:val="005A3FCD"/>
    <w:rsid w:val="005F52EB"/>
    <w:rsid w:val="006151FE"/>
    <w:rsid w:val="00616763"/>
    <w:rsid w:val="00653203"/>
    <w:rsid w:val="00657C18"/>
    <w:rsid w:val="006B794D"/>
    <w:rsid w:val="006E0708"/>
    <w:rsid w:val="007537D4"/>
    <w:rsid w:val="00760BA8"/>
    <w:rsid w:val="00772093"/>
    <w:rsid w:val="007B4F39"/>
    <w:rsid w:val="007F33D8"/>
    <w:rsid w:val="00824BEB"/>
    <w:rsid w:val="00827337"/>
    <w:rsid w:val="00835C5F"/>
    <w:rsid w:val="0085724E"/>
    <w:rsid w:val="008D1ED0"/>
    <w:rsid w:val="009622B1"/>
    <w:rsid w:val="00992C50"/>
    <w:rsid w:val="009A6E68"/>
    <w:rsid w:val="009D489D"/>
    <w:rsid w:val="00BC622F"/>
    <w:rsid w:val="00BD04FD"/>
    <w:rsid w:val="00C25ADE"/>
    <w:rsid w:val="00C40B8C"/>
    <w:rsid w:val="00C7091E"/>
    <w:rsid w:val="00C86FF8"/>
    <w:rsid w:val="00C90A5A"/>
    <w:rsid w:val="00CB5C06"/>
    <w:rsid w:val="00CD7322"/>
    <w:rsid w:val="00D2589B"/>
    <w:rsid w:val="00D27D63"/>
    <w:rsid w:val="00D63174"/>
    <w:rsid w:val="00DA2F30"/>
    <w:rsid w:val="00DD4FA3"/>
    <w:rsid w:val="00E31696"/>
    <w:rsid w:val="00E31A45"/>
    <w:rsid w:val="00E9585C"/>
    <w:rsid w:val="00E96E9A"/>
    <w:rsid w:val="00ED4D98"/>
    <w:rsid w:val="00F0129B"/>
    <w:rsid w:val="00FC674B"/>
    <w:rsid w:val="00FD2D4D"/>
    <w:rsid w:val="00FF2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5AB5E002-9949-41C2-9999-3D3E34EC7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33D8"/>
    <w:rPr>
      <w:lang w:val="es-B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258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2589B"/>
  </w:style>
  <w:style w:type="paragraph" w:styleId="Piedepgina">
    <w:name w:val="footer"/>
    <w:basedOn w:val="Normal"/>
    <w:link w:val="PiedepginaCar"/>
    <w:unhideWhenUsed/>
    <w:rsid w:val="00D258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D2589B"/>
  </w:style>
  <w:style w:type="paragraph" w:styleId="Textodeglobo">
    <w:name w:val="Balloon Text"/>
    <w:basedOn w:val="Normal"/>
    <w:link w:val="TextodegloboCar"/>
    <w:uiPriority w:val="99"/>
    <w:semiHidden/>
    <w:unhideWhenUsed/>
    <w:rsid w:val="00D258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589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813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DB26AB-D4A4-4A50-B9D3-231B77371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2</Pages>
  <Words>564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Cuenta Microsoft</cp:lastModifiedBy>
  <cp:revision>37</cp:revision>
  <cp:lastPrinted>2023-01-19T19:14:00Z</cp:lastPrinted>
  <dcterms:created xsi:type="dcterms:W3CDTF">2013-03-14T12:44:00Z</dcterms:created>
  <dcterms:modified xsi:type="dcterms:W3CDTF">2025-02-27T18:51:00Z</dcterms:modified>
</cp:coreProperties>
</file>