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7C" w:rsidRPr="00F82E76" w:rsidRDefault="00A5627C" w:rsidP="002754F3">
      <w:pPr>
        <w:tabs>
          <w:tab w:val="left" w:pos="2410"/>
        </w:tabs>
        <w:spacing w:after="300" w:line="240" w:lineRule="auto"/>
        <w:jc w:val="center"/>
        <w:rPr>
          <w:b/>
          <w:spacing w:val="40"/>
          <w:sz w:val="28"/>
          <w:szCs w:val="28"/>
        </w:rPr>
      </w:pPr>
      <w:r w:rsidRPr="00F82E76">
        <w:rPr>
          <w:b/>
          <w:spacing w:val="40"/>
          <w:sz w:val="28"/>
          <w:szCs w:val="28"/>
        </w:rPr>
        <w:t>RESUMEN EJECUTIVO</w:t>
      </w:r>
    </w:p>
    <w:p w:rsidR="00A5627C" w:rsidRPr="0015098B" w:rsidRDefault="00A5627C" w:rsidP="00864ECC">
      <w:pPr>
        <w:tabs>
          <w:tab w:val="left" w:pos="2410"/>
        </w:tabs>
        <w:spacing w:before="120" w:after="120" w:line="240" w:lineRule="auto"/>
        <w:jc w:val="both"/>
        <w:rPr>
          <w:rFonts w:ascii="Calibri" w:hAnsi="Calibri" w:cs="Calibri"/>
          <w:sz w:val="20"/>
        </w:rPr>
      </w:pPr>
      <w:r w:rsidRPr="0015098B">
        <w:rPr>
          <w:rFonts w:ascii="Calibri" w:hAnsi="Calibri" w:cs="Calibri"/>
          <w:sz w:val="20"/>
        </w:rPr>
        <w:t xml:space="preserve">Informe </w:t>
      </w:r>
      <w:r w:rsidRPr="0015098B">
        <w:rPr>
          <w:rFonts w:ascii="Calibri" w:hAnsi="Calibri" w:cs="Calibri"/>
          <w:sz w:val="18"/>
        </w:rPr>
        <w:t>N° IAI/PSCU/</w:t>
      </w:r>
      <w:r w:rsidR="008513E0">
        <w:rPr>
          <w:rFonts w:ascii="Calibri" w:hAnsi="Calibri" w:cs="Calibri"/>
          <w:sz w:val="18"/>
        </w:rPr>
        <w:t>07</w:t>
      </w:r>
      <w:r w:rsidR="003C4C8A" w:rsidRPr="0015098B">
        <w:rPr>
          <w:rFonts w:ascii="Calibri" w:hAnsi="Calibri" w:cs="Calibri"/>
          <w:sz w:val="18"/>
        </w:rPr>
        <w:t>/</w:t>
      </w:r>
      <w:r w:rsidR="005F7DEC" w:rsidRPr="0015098B">
        <w:rPr>
          <w:rFonts w:ascii="Calibri" w:hAnsi="Calibri" w:cs="Calibri"/>
          <w:sz w:val="18"/>
        </w:rPr>
        <w:t>202</w:t>
      </w:r>
      <w:r w:rsidR="008513E0">
        <w:rPr>
          <w:rFonts w:ascii="Calibri" w:hAnsi="Calibri" w:cs="Calibri"/>
          <w:sz w:val="18"/>
        </w:rPr>
        <w:t>5</w:t>
      </w:r>
      <w:r w:rsidR="00DB5EB6" w:rsidRPr="0015098B">
        <w:rPr>
          <w:rFonts w:ascii="Calibri" w:hAnsi="Calibri" w:cs="Calibri"/>
          <w:sz w:val="18"/>
        </w:rPr>
        <w:t xml:space="preserve"> </w:t>
      </w:r>
      <w:r w:rsidR="007D3F78" w:rsidRPr="0015098B">
        <w:rPr>
          <w:rFonts w:ascii="Calibri" w:hAnsi="Calibri" w:cs="Calibri"/>
          <w:sz w:val="20"/>
        </w:rPr>
        <w:t xml:space="preserve">referente </w:t>
      </w:r>
      <w:r w:rsidRPr="0015098B">
        <w:rPr>
          <w:rFonts w:ascii="Calibri" w:hAnsi="Calibri" w:cs="Calibri"/>
          <w:sz w:val="20"/>
        </w:rPr>
        <w:t xml:space="preserve">al </w:t>
      </w:r>
      <w:r w:rsidR="007D3F78" w:rsidRPr="0015098B">
        <w:rPr>
          <w:rFonts w:ascii="Calibri" w:hAnsi="Calibri" w:cs="Calibri"/>
          <w:i/>
          <w:sz w:val="18"/>
        </w:rPr>
        <w:t>“</w:t>
      </w:r>
      <w:r w:rsidRPr="0015098B">
        <w:rPr>
          <w:rFonts w:ascii="Calibri" w:hAnsi="Calibri" w:cs="Calibri"/>
          <w:i/>
          <w:sz w:val="18"/>
        </w:rPr>
        <w:t xml:space="preserve">Informe </w:t>
      </w:r>
      <w:r w:rsidR="00737120" w:rsidRPr="0015098B">
        <w:rPr>
          <w:rFonts w:ascii="Calibri" w:hAnsi="Calibri" w:cs="Calibri"/>
          <w:i/>
          <w:sz w:val="18"/>
        </w:rPr>
        <w:t xml:space="preserve">Semestral </w:t>
      </w:r>
      <w:r w:rsidRPr="0015098B">
        <w:rPr>
          <w:rFonts w:ascii="Calibri" w:hAnsi="Calibri" w:cs="Calibri"/>
          <w:i/>
          <w:sz w:val="18"/>
        </w:rPr>
        <w:t xml:space="preserve">de Actividades </w:t>
      </w:r>
      <w:r w:rsidR="007D3F78" w:rsidRPr="0015098B">
        <w:rPr>
          <w:rFonts w:ascii="Calibri" w:hAnsi="Calibri" w:cs="Calibri"/>
          <w:i/>
          <w:sz w:val="18"/>
        </w:rPr>
        <w:t xml:space="preserve">correspondiente al periodo comprendido entre </w:t>
      </w:r>
      <w:r w:rsidRPr="0015098B">
        <w:rPr>
          <w:rFonts w:ascii="Calibri" w:hAnsi="Calibri" w:cs="Calibri"/>
          <w:i/>
          <w:sz w:val="18"/>
        </w:rPr>
        <w:t>el 01 de enero al 3</w:t>
      </w:r>
      <w:r w:rsidR="00737120" w:rsidRPr="0015098B">
        <w:rPr>
          <w:rFonts w:ascii="Calibri" w:hAnsi="Calibri" w:cs="Calibri"/>
          <w:i/>
          <w:sz w:val="18"/>
        </w:rPr>
        <w:t>0</w:t>
      </w:r>
      <w:r w:rsidRPr="0015098B">
        <w:rPr>
          <w:rFonts w:ascii="Calibri" w:hAnsi="Calibri" w:cs="Calibri"/>
          <w:i/>
          <w:sz w:val="18"/>
        </w:rPr>
        <w:t xml:space="preserve"> </w:t>
      </w:r>
      <w:r w:rsidR="00F764D0" w:rsidRPr="0015098B">
        <w:rPr>
          <w:rFonts w:ascii="Calibri" w:hAnsi="Calibri" w:cs="Calibri"/>
          <w:i/>
          <w:sz w:val="18"/>
        </w:rPr>
        <w:t xml:space="preserve">de </w:t>
      </w:r>
      <w:r w:rsidR="005F7DEC" w:rsidRPr="0015098B">
        <w:rPr>
          <w:rFonts w:ascii="Calibri" w:hAnsi="Calibri" w:cs="Calibri"/>
          <w:i/>
          <w:sz w:val="18"/>
        </w:rPr>
        <w:t>junio de 202</w:t>
      </w:r>
      <w:r w:rsidR="008513E0">
        <w:rPr>
          <w:rFonts w:ascii="Calibri" w:hAnsi="Calibri" w:cs="Calibri"/>
          <w:i/>
          <w:sz w:val="18"/>
        </w:rPr>
        <w:t>5</w:t>
      </w:r>
      <w:r w:rsidR="007D3F78" w:rsidRPr="0015098B">
        <w:rPr>
          <w:rFonts w:ascii="Calibri" w:hAnsi="Calibri" w:cs="Calibri"/>
          <w:i/>
          <w:sz w:val="18"/>
        </w:rPr>
        <w:t>”</w:t>
      </w:r>
      <w:r w:rsidR="00F41F6C" w:rsidRPr="0015098B">
        <w:rPr>
          <w:rFonts w:ascii="Calibri" w:hAnsi="Calibri" w:cs="Calibri"/>
          <w:sz w:val="20"/>
        </w:rPr>
        <w:t xml:space="preserve">, </w:t>
      </w:r>
      <w:r w:rsidR="007D3F78" w:rsidRPr="0015098B">
        <w:rPr>
          <w:rFonts w:ascii="Calibri" w:hAnsi="Calibri" w:cs="Calibri"/>
          <w:sz w:val="20"/>
        </w:rPr>
        <w:t>elaborado y emitido</w:t>
      </w:r>
      <w:r w:rsidRPr="0015098B">
        <w:rPr>
          <w:rFonts w:ascii="Calibri" w:hAnsi="Calibri" w:cs="Calibri"/>
          <w:sz w:val="20"/>
        </w:rPr>
        <w:t xml:space="preserve"> en cumplimiento </w:t>
      </w:r>
      <w:r w:rsidR="008513E0" w:rsidRPr="008513E0">
        <w:rPr>
          <w:rFonts w:cs="Calibri"/>
          <w:sz w:val="20"/>
        </w:rPr>
        <w:t xml:space="preserve">de </w:t>
      </w:r>
      <w:r w:rsidR="008513E0" w:rsidRPr="008513E0">
        <w:rPr>
          <w:rFonts w:cstheme="minorHAnsi"/>
          <w:sz w:val="20"/>
          <w:lang w:val="es-ES_tradnl"/>
        </w:rPr>
        <w:t xml:space="preserve">las </w:t>
      </w:r>
      <w:r w:rsidR="008513E0" w:rsidRPr="008513E0">
        <w:rPr>
          <w:rFonts w:cstheme="minorHAnsi"/>
          <w:i/>
          <w:sz w:val="18"/>
          <w:lang w:val="es-ES_tradnl"/>
        </w:rPr>
        <w:t xml:space="preserve">“Normas de Auditoria Gubernamental”, </w:t>
      </w:r>
      <w:r w:rsidR="008513E0" w:rsidRPr="008513E0">
        <w:rPr>
          <w:rFonts w:cstheme="minorHAnsi"/>
          <w:sz w:val="20"/>
          <w:lang w:val="es-ES_tradnl"/>
        </w:rPr>
        <w:t>emitidas mediante</w:t>
      </w:r>
      <w:r w:rsidR="008513E0" w:rsidRPr="008513E0">
        <w:rPr>
          <w:rFonts w:cstheme="minorHAnsi"/>
          <w:i/>
          <w:sz w:val="20"/>
          <w:lang w:val="es-ES_tradnl"/>
        </w:rPr>
        <w:t xml:space="preserve"> </w:t>
      </w:r>
      <w:r w:rsidR="008513E0" w:rsidRPr="008513E0">
        <w:rPr>
          <w:rFonts w:cstheme="minorHAnsi"/>
          <w:sz w:val="20"/>
          <w:lang w:val="es-ES_tradnl"/>
        </w:rPr>
        <w:t xml:space="preserve">Resolución </w:t>
      </w:r>
      <w:r w:rsidR="008513E0" w:rsidRPr="008513E0">
        <w:rPr>
          <w:rFonts w:cstheme="minorHAnsi"/>
          <w:sz w:val="18"/>
          <w:lang w:val="es-ES_tradnl"/>
        </w:rPr>
        <w:t>Nº CGE/094/2012</w:t>
      </w:r>
      <w:r w:rsidR="008513E0" w:rsidRPr="008513E0">
        <w:rPr>
          <w:rFonts w:cstheme="minorHAnsi"/>
          <w:sz w:val="20"/>
          <w:lang w:val="es-ES_tradnl"/>
        </w:rPr>
        <w:t xml:space="preserve"> de fecha 27 de agosto de 2012, numeral 304.07 y en cumplimiento del</w:t>
      </w:r>
      <w:r w:rsidR="008513E0" w:rsidRPr="008513E0">
        <w:rPr>
          <w:rFonts w:cs="Calibri"/>
          <w:sz w:val="20"/>
        </w:rPr>
        <w:t xml:space="preserve"> </w:t>
      </w:r>
      <w:r w:rsidR="008513E0" w:rsidRPr="008513E0">
        <w:rPr>
          <w:rFonts w:cs="Calibri"/>
          <w:i/>
          <w:sz w:val="18"/>
        </w:rPr>
        <w:t>“Instructivo para la emisión del Informe Semestral de Actividades de las Unidades de Auditoría Interna del Sector Público”</w:t>
      </w:r>
      <w:r w:rsidR="008513E0" w:rsidRPr="008513E0">
        <w:rPr>
          <w:rFonts w:cs="Calibri"/>
          <w:sz w:val="20"/>
        </w:rPr>
        <w:t xml:space="preserve">, expresado mediante Resolución </w:t>
      </w:r>
      <w:r w:rsidR="008513E0" w:rsidRPr="008513E0">
        <w:rPr>
          <w:rFonts w:cs="Calibri"/>
          <w:sz w:val="18"/>
        </w:rPr>
        <w:t>N° CGE/055/2022</w:t>
      </w:r>
      <w:r w:rsidR="008513E0" w:rsidRPr="008513E0">
        <w:rPr>
          <w:rFonts w:cs="Calibri"/>
          <w:sz w:val="20"/>
        </w:rPr>
        <w:t xml:space="preserve"> de fecha 20 de julio de 2022; ambos documentos emitidos por la Contraloría General del Estado</w:t>
      </w:r>
      <w:r w:rsidRPr="008513E0">
        <w:rPr>
          <w:rFonts w:ascii="Calibri" w:hAnsi="Calibri" w:cs="Calibri"/>
          <w:sz w:val="18"/>
        </w:rPr>
        <w:t>.</w:t>
      </w:r>
    </w:p>
    <w:p w:rsidR="00A5627C" w:rsidRPr="0015098B" w:rsidRDefault="00DE620A" w:rsidP="00864ECC">
      <w:pPr>
        <w:spacing w:before="120" w:after="120"/>
        <w:jc w:val="both"/>
        <w:rPr>
          <w:rFonts w:cs="Calibri"/>
          <w:color w:val="FF0000"/>
          <w:sz w:val="18"/>
        </w:rPr>
      </w:pPr>
      <w:r w:rsidRPr="0015098B">
        <w:rPr>
          <w:rFonts w:cs="Calibri"/>
          <w:sz w:val="20"/>
        </w:rPr>
        <w:t xml:space="preserve">La Unidad de Auditoría Interna, </w:t>
      </w:r>
      <w:r w:rsidR="008513E0" w:rsidRPr="008513E0">
        <w:rPr>
          <w:rFonts w:cs="Calibri"/>
          <w:sz w:val="20"/>
        </w:rPr>
        <w:t xml:space="preserve">en cumplimiento de las </w:t>
      </w:r>
      <w:r w:rsidR="008513E0" w:rsidRPr="008513E0">
        <w:rPr>
          <w:rFonts w:cstheme="minorHAnsi"/>
          <w:i/>
          <w:sz w:val="18"/>
          <w:lang w:val="es-ES_tradnl"/>
        </w:rPr>
        <w:t xml:space="preserve">“Normas de Auditoria Gubernamental”, </w:t>
      </w:r>
      <w:r w:rsidR="008513E0" w:rsidRPr="008513E0">
        <w:rPr>
          <w:rFonts w:cstheme="minorHAnsi"/>
          <w:sz w:val="20"/>
          <w:lang w:val="es-ES_tradnl"/>
        </w:rPr>
        <w:t>emitidas mediante</w:t>
      </w:r>
      <w:r w:rsidR="008513E0" w:rsidRPr="008513E0">
        <w:rPr>
          <w:rFonts w:cstheme="minorHAnsi"/>
          <w:i/>
          <w:sz w:val="20"/>
          <w:lang w:val="es-ES_tradnl"/>
        </w:rPr>
        <w:t xml:space="preserve"> </w:t>
      </w:r>
      <w:r w:rsidR="008513E0" w:rsidRPr="008513E0">
        <w:rPr>
          <w:rFonts w:cstheme="minorHAnsi"/>
          <w:sz w:val="20"/>
          <w:lang w:val="es-ES_tradnl"/>
        </w:rPr>
        <w:t xml:space="preserve">Resolución </w:t>
      </w:r>
      <w:r w:rsidR="008513E0" w:rsidRPr="008513E0">
        <w:rPr>
          <w:rFonts w:cstheme="minorHAnsi"/>
          <w:sz w:val="18"/>
          <w:lang w:val="es-ES_tradnl"/>
        </w:rPr>
        <w:t>Nº CGE/094/2012</w:t>
      </w:r>
      <w:r w:rsidR="008513E0" w:rsidRPr="008513E0">
        <w:rPr>
          <w:rFonts w:cstheme="minorHAnsi"/>
          <w:sz w:val="20"/>
          <w:lang w:val="es-ES_tradnl"/>
        </w:rPr>
        <w:t xml:space="preserve"> de fecha 27 de agosto de 2012, numeral 304</w:t>
      </w:r>
      <w:r w:rsidR="008513E0" w:rsidRPr="008513E0">
        <w:rPr>
          <w:rFonts w:cs="Calibri"/>
          <w:sz w:val="20"/>
        </w:rPr>
        <w:t xml:space="preserve">; elaboró su Programa Operativo Anual correspondiente a la gestión 2025; mismo que fue remitido a la Gerencia Departamental de Chuquisaca perteneciente a la Contraloría General del Estado, mediante nota con cite: </w:t>
      </w:r>
      <w:r w:rsidR="008513E0" w:rsidRPr="008513E0">
        <w:rPr>
          <w:rFonts w:cs="Calibri"/>
          <w:sz w:val="18"/>
        </w:rPr>
        <w:t xml:space="preserve">PSCU/UAI-060/24 </w:t>
      </w:r>
      <w:r w:rsidR="008513E0" w:rsidRPr="008513E0">
        <w:rPr>
          <w:rFonts w:cs="Calibri"/>
          <w:sz w:val="20"/>
        </w:rPr>
        <w:t>de fecha 30 de septiembre.</w:t>
      </w:r>
    </w:p>
    <w:p w:rsidR="00166730" w:rsidRDefault="0083383A" w:rsidP="001265EB">
      <w:pPr>
        <w:spacing w:before="120" w:after="240"/>
        <w:jc w:val="both"/>
        <w:rPr>
          <w:rFonts w:cs="Calibri"/>
          <w:sz w:val="20"/>
        </w:rPr>
      </w:pPr>
      <w:r w:rsidRPr="0015098B">
        <w:rPr>
          <w:rFonts w:cs="Calibri"/>
          <w:sz w:val="20"/>
        </w:rPr>
        <w:t>En relación al Programa Operativo Anual correspondiente a la Gestión 202</w:t>
      </w:r>
      <w:r w:rsidR="008513E0">
        <w:rPr>
          <w:rFonts w:cs="Calibri"/>
          <w:sz w:val="20"/>
        </w:rPr>
        <w:t>5</w:t>
      </w:r>
      <w:r w:rsidRPr="0015098B">
        <w:rPr>
          <w:rFonts w:cs="Calibri"/>
          <w:sz w:val="20"/>
        </w:rPr>
        <w:t xml:space="preserve"> y sobre la base de la información contenida en </w:t>
      </w:r>
      <w:r w:rsidRPr="0015098B">
        <w:rPr>
          <w:rFonts w:cs="Calibri"/>
          <w:b/>
          <w:sz w:val="20"/>
        </w:rPr>
        <w:t>Anexo N° 1</w:t>
      </w:r>
      <w:r w:rsidRPr="0015098B">
        <w:rPr>
          <w:rFonts w:cs="Calibri"/>
          <w:sz w:val="20"/>
        </w:rPr>
        <w:t xml:space="preserve">, se afirma que de tres </w:t>
      </w:r>
      <w:r w:rsidRPr="0015098B">
        <w:rPr>
          <w:rFonts w:cs="Calibri"/>
          <w:sz w:val="18"/>
        </w:rPr>
        <w:t>(3)</w:t>
      </w:r>
      <w:r w:rsidRPr="0015098B">
        <w:rPr>
          <w:rFonts w:cs="Calibri"/>
          <w:sz w:val="20"/>
        </w:rPr>
        <w:t xml:space="preserve"> exámenes programados para su conclusión en el pr</w:t>
      </w:r>
      <w:r w:rsidR="008513E0">
        <w:rPr>
          <w:rFonts w:cs="Calibri"/>
          <w:sz w:val="20"/>
        </w:rPr>
        <w:t>imer semestre de la gestión 2025</w:t>
      </w:r>
      <w:r w:rsidRPr="0015098B">
        <w:rPr>
          <w:rFonts w:cs="Calibri"/>
          <w:sz w:val="20"/>
        </w:rPr>
        <w:t xml:space="preserve">, se </w:t>
      </w:r>
      <w:r w:rsidR="008513E0">
        <w:rPr>
          <w:rFonts w:cs="Calibri"/>
          <w:sz w:val="20"/>
        </w:rPr>
        <w:t>concluyeron los tres</w:t>
      </w:r>
      <w:r w:rsidRPr="0015098B">
        <w:rPr>
          <w:rFonts w:cs="Calibri"/>
          <w:sz w:val="20"/>
        </w:rPr>
        <w:t xml:space="preserve"> </w:t>
      </w:r>
      <w:r w:rsidRPr="0015098B">
        <w:rPr>
          <w:rFonts w:cs="Calibri"/>
          <w:sz w:val="18"/>
        </w:rPr>
        <w:t>(</w:t>
      </w:r>
      <w:r w:rsidR="008513E0">
        <w:rPr>
          <w:rFonts w:cs="Calibri"/>
          <w:sz w:val="18"/>
        </w:rPr>
        <w:t>3</w:t>
      </w:r>
      <w:r w:rsidRPr="0015098B">
        <w:rPr>
          <w:rFonts w:cs="Calibri"/>
          <w:sz w:val="18"/>
        </w:rPr>
        <w:t>)</w:t>
      </w:r>
      <w:r w:rsidRPr="0015098B">
        <w:rPr>
          <w:rFonts w:cs="Calibri"/>
          <w:sz w:val="20"/>
        </w:rPr>
        <w:t>; a continuación se detalla:</w:t>
      </w:r>
    </w:p>
    <w:tbl>
      <w:tblPr>
        <w:tblW w:w="92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134"/>
        <w:gridCol w:w="709"/>
        <w:gridCol w:w="709"/>
        <w:gridCol w:w="850"/>
        <w:gridCol w:w="726"/>
      </w:tblGrid>
      <w:tr w:rsidR="008513E0" w:rsidRPr="008513E0" w:rsidTr="008513E0">
        <w:trPr>
          <w:tblHeader/>
          <w:jc w:val="right"/>
        </w:trPr>
        <w:tc>
          <w:tcPr>
            <w:tcW w:w="5101" w:type="dxa"/>
            <w:vMerge w:val="restart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ACTIVIDADES</w:t>
            </w:r>
          </w:p>
        </w:tc>
        <w:tc>
          <w:tcPr>
            <w:tcW w:w="1843" w:type="dxa"/>
            <w:gridSpan w:val="2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INFORME</w:t>
            </w:r>
          </w:p>
        </w:tc>
        <w:tc>
          <w:tcPr>
            <w:tcW w:w="709" w:type="dxa"/>
            <w:vMerge w:val="restart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77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ESTADO DEL EXAMEN</w:t>
            </w:r>
          </w:p>
        </w:tc>
        <w:tc>
          <w:tcPr>
            <w:tcW w:w="1576" w:type="dxa"/>
            <w:gridSpan w:val="2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REMISIÓN CGE</w:t>
            </w:r>
          </w:p>
        </w:tc>
      </w:tr>
      <w:tr w:rsidR="008513E0" w:rsidRPr="008513E0" w:rsidTr="008513E0">
        <w:trPr>
          <w:trHeight w:val="397"/>
          <w:tblHeader/>
          <w:jc w:val="right"/>
        </w:trPr>
        <w:tc>
          <w:tcPr>
            <w:tcW w:w="5101" w:type="dxa"/>
            <w:vMerge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Nº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FECHA</w:t>
            </w:r>
          </w:p>
        </w:tc>
        <w:tc>
          <w:tcPr>
            <w:tcW w:w="709" w:type="dxa"/>
            <w:vMerge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Nº DE NOTA</w:t>
            </w:r>
          </w:p>
        </w:tc>
        <w:tc>
          <w:tcPr>
            <w:tcW w:w="726" w:type="dxa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b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</w:rPr>
              <w:t>FECHA</w:t>
            </w:r>
          </w:p>
        </w:tc>
      </w:tr>
      <w:tr w:rsidR="008513E0" w:rsidRPr="008513E0" w:rsidTr="008513E0">
        <w:trPr>
          <w:cantSplit/>
          <w:trHeight w:val="223"/>
          <w:jc w:val="right"/>
        </w:trPr>
        <w:tc>
          <w:tcPr>
            <w:tcW w:w="9229" w:type="dxa"/>
            <w:gridSpan w:val="6"/>
            <w:vAlign w:val="center"/>
          </w:tcPr>
          <w:p w:rsidR="008513E0" w:rsidRPr="008513E0" w:rsidRDefault="008513E0" w:rsidP="007564F3">
            <w:pPr>
              <w:spacing w:before="40" w:after="20"/>
              <w:ind w:left="-22"/>
              <w:rPr>
                <w:rFonts w:cs="Calibri"/>
                <w:b/>
                <w:sz w:val="14"/>
                <w:szCs w:val="14"/>
                <w:lang w:val="en-US"/>
              </w:rPr>
            </w:pPr>
            <w:r w:rsidRPr="008513E0">
              <w:rPr>
                <w:rFonts w:cs="Calibri"/>
                <w:b/>
                <w:sz w:val="14"/>
                <w:szCs w:val="14"/>
                <w:lang w:val="en-US"/>
              </w:rPr>
              <w:t>AUDITORÍAS PROGRAMADAS</w:t>
            </w:r>
          </w:p>
        </w:tc>
      </w:tr>
      <w:tr w:rsidR="008513E0" w:rsidRPr="008513E0" w:rsidTr="008513E0">
        <w:trPr>
          <w:cantSplit/>
          <w:trHeight w:val="712"/>
          <w:jc w:val="right"/>
        </w:trPr>
        <w:tc>
          <w:tcPr>
            <w:tcW w:w="5101" w:type="dxa"/>
            <w:vAlign w:val="center"/>
          </w:tcPr>
          <w:p w:rsidR="008513E0" w:rsidRPr="008513E0" w:rsidRDefault="008513E0" w:rsidP="007564F3">
            <w:pPr>
              <w:spacing w:before="40" w:after="20"/>
              <w:jc w:val="both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Auditoría sobre la Confiabilidad de los Registros  y  Estados Financieros del Proyecto Sucre Ciudad Universitaria, del periodo comprendido entre el 01 de enero al 31 de diciembre de 2024 – Estados Financieros</w:t>
            </w:r>
          </w:p>
        </w:tc>
        <w:tc>
          <w:tcPr>
            <w:tcW w:w="1134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2" w:right="-92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IAI/PSCU/02/2025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8" w:right="-10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27/02/25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77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Emitido</w:t>
            </w:r>
          </w:p>
        </w:tc>
        <w:tc>
          <w:tcPr>
            <w:tcW w:w="850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8" w:right="-1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PSCU/UAI-021/25</w:t>
            </w:r>
          </w:p>
        </w:tc>
        <w:tc>
          <w:tcPr>
            <w:tcW w:w="726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91"/>
              <w:jc w:val="center"/>
              <w:rPr>
                <w:rFonts w:cs="Calibri"/>
                <w:sz w:val="14"/>
                <w:szCs w:val="14"/>
                <w:lang w:val="en-US"/>
              </w:rPr>
            </w:pPr>
            <w:r w:rsidRPr="008513E0">
              <w:rPr>
                <w:rFonts w:cs="Calibri"/>
                <w:sz w:val="14"/>
                <w:szCs w:val="14"/>
                <w:lang w:val="en-US"/>
              </w:rPr>
              <w:t>27/02/25</w:t>
            </w:r>
          </w:p>
        </w:tc>
      </w:tr>
      <w:tr w:rsidR="008513E0" w:rsidRPr="008513E0" w:rsidTr="008513E0">
        <w:trPr>
          <w:cantSplit/>
          <w:trHeight w:val="892"/>
          <w:jc w:val="right"/>
        </w:trPr>
        <w:tc>
          <w:tcPr>
            <w:tcW w:w="5101" w:type="dxa"/>
            <w:vAlign w:val="center"/>
          </w:tcPr>
          <w:p w:rsidR="008513E0" w:rsidRPr="008513E0" w:rsidRDefault="008513E0" w:rsidP="007564F3">
            <w:pPr>
              <w:spacing w:before="40" w:after="20"/>
              <w:jc w:val="both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 xml:space="preserve">Seguimiento al cumplimiento de las recomendaciones efectuadas en el Informe N° IAI/PSCU/02/2024 referente a la </w:t>
            </w:r>
            <w:r w:rsidRPr="008513E0">
              <w:rPr>
                <w:rFonts w:cs="Calibri"/>
                <w:i/>
                <w:sz w:val="14"/>
                <w:szCs w:val="14"/>
              </w:rPr>
              <w:t>"Auditoría sobre la Confiabilidad de los Registros y Estados Financieros del Proyecto Sucre Ciudad Universitaria, del periodo comprendido entre el 01 de enero al 31 de diciembre de 2023"</w:t>
            </w:r>
            <w:r w:rsidRPr="008513E0">
              <w:rPr>
                <w:rFonts w:cs="Calibri"/>
                <w:sz w:val="14"/>
                <w:szCs w:val="14"/>
              </w:rPr>
              <w:t xml:space="preserve"> (Cinco recomendaciones en lo que corresponde a Estados Financieros)</w:t>
            </w:r>
          </w:p>
        </w:tc>
        <w:tc>
          <w:tcPr>
            <w:tcW w:w="1134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2" w:right="-92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IAI/PSCU/04/2025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8" w:right="-10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28/02/25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77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Emitido</w:t>
            </w:r>
          </w:p>
        </w:tc>
        <w:tc>
          <w:tcPr>
            <w:tcW w:w="850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8" w:right="-1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*</w:t>
            </w:r>
          </w:p>
          <w:p w:rsidR="008513E0" w:rsidRPr="008513E0" w:rsidRDefault="008513E0" w:rsidP="007564F3">
            <w:pPr>
              <w:spacing w:before="40" w:after="20"/>
              <w:ind w:left="-18" w:right="-1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PSCU/UAI-022/25</w:t>
            </w:r>
          </w:p>
        </w:tc>
        <w:tc>
          <w:tcPr>
            <w:tcW w:w="726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91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28/02/25</w:t>
            </w:r>
          </w:p>
        </w:tc>
      </w:tr>
      <w:tr w:rsidR="008513E0" w:rsidRPr="008513E0" w:rsidTr="008513E0">
        <w:trPr>
          <w:cantSplit/>
          <w:trHeight w:val="750"/>
          <w:jc w:val="right"/>
        </w:trPr>
        <w:tc>
          <w:tcPr>
            <w:tcW w:w="5101" w:type="dxa"/>
            <w:vAlign w:val="center"/>
          </w:tcPr>
          <w:p w:rsidR="008513E0" w:rsidRPr="008513E0" w:rsidRDefault="008513E0" w:rsidP="007564F3">
            <w:pPr>
              <w:spacing w:before="40" w:after="20"/>
              <w:jc w:val="both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 xml:space="preserve">Seguimiento al cumplimiento de las recomendaciones efectuadas en el Informe N° IAI/PSCU/01/2024 referente a la </w:t>
            </w:r>
            <w:r w:rsidRPr="008513E0">
              <w:rPr>
                <w:rFonts w:cs="Calibri"/>
                <w:i/>
                <w:sz w:val="14"/>
                <w:szCs w:val="14"/>
              </w:rPr>
              <w:t>"Auditoría sobre la Confiabilidad de los Registros y Estados Financieros del Proyecto Sucre Ciudad Universitaria, del periodo comprendido entre el 01 de enero al 31 de diciembre de 2023"</w:t>
            </w:r>
            <w:r w:rsidRPr="008513E0">
              <w:rPr>
                <w:rFonts w:cs="Calibri"/>
                <w:sz w:val="14"/>
                <w:szCs w:val="14"/>
              </w:rPr>
              <w:t xml:space="preserve"> (Dos recomendaciones en lo que corresponde a Registros)</w:t>
            </w:r>
          </w:p>
        </w:tc>
        <w:tc>
          <w:tcPr>
            <w:tcW w:w="1134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2" w:right="-92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IAI/PSCU/06/2025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8" w:right="-10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30/06/2025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77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Emitido</w:t>
            </w:r>
          </w:p>
        </w:tc>
        <w:tc>
          <w:tcPr>
            <w:tcW w:w="850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8" w:right="-1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*</w:t>
            </w:r>
          </w:p>
          <w:p w:rsidR="008513E0" w:rsidRPr="008513E0" w:rsidRDefault="008513E0" w:rsidP="007564F3">
            <w:pPr>
              <w:spacing w:before="40" w:after="20"/>
              <w:ind w:left="-18" w:right="-1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PSCU/UAI-040/25</w:t>
            </w:r>
          </w:p>
        </w:tc>
        <w:tc>
          <w:tcPr>
            <w:tcW w:w="726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91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30/06/25</w:t>
            </w:r>
          </w:p>
        </w:tc>
      </w:tr>
      <w:tr w:rsidR="008513E0" w:rsidRPr="008513E0" w:rsidTr="008513E0">
        <w:trPr>
          <w:cantSplit/>
          <w:trHeight w:val="750"/>
          <w:jc w:val="right"/>
        </w:trPr>
        <w:tc>
          <w:tcPr>
            <w:tcW w:w="5101" w:type="dxa"/>
            <w:vAlign w:val="center"/>
          </w:tcPr>
          <w:p w:rsidR="008513E0" w:rsidRPr="008513E0" w:rsidRDefault="008513E0" w:rsidP="007564F3">
            <w:pPr>
              <w:spacing w:before="40" w:after="20"/>
              <w:jc w:val="both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Auditoría sobre la Confiabilidad de los Registros  y Estados Fina</w:t>
            </w:r>
            <w:bookmarkStart w:id="0" w:name="_GoBack"/>
            <w:bookmarkEnd w:id="0"/>
            <w:r w:rsidRPr="008513E0">
              <w:rPr>
                <w:rFonts w:cs="Calibri"/>
                <w:sz w:val="14"/>
                <w:szCs w:val="14"/>
              </w:rPr>
              <w:t>ncieros del Proyecto Sucre Ciudad Universitaria, del periodo comprendido entre el 01 de enero al 31 de diciembre de 2025 - Registros</w:t>
            </w:r>
          </w:p>
        </w:tc>
        <w:tc>
          <w:tcPr>
            <w:tcW w:w="1134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2" w:right="-92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8" w:right="-10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¥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77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En proceso</w:t>
            </w:r>
          </w:p>
        </w:tc>
        <w:tc>
          <w:tcPr>
            <w:tcW w:w="850" w:type="dxa"/>
            <w:vAlign w:val="center"/>
          </w:tcPr>
          <w:p w:rsidR="008513E0" w:rsidRPr="008513E0" w:rsidRDefault="008513E0" w:rsidP="007564F3">
            <w:pPr>
              <w:spacing w:before="40" w:after="20"/>
              <w:jc w:val="center"/>
              <w:rPr>
                <w:rFonts w:cs="Calibri"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726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91"/>
              <w:jc w:val="center"/>
              <w:rPr>
                <w:rFonts w:cs="Calibri"/>
                <w:color w:val="FF0000"/>
                <w:sz w:val="14"/>
                <w:szCs w:val="14"/>
                <w:lang w:val="es-ES"/>
              </w:rPr>
            </w:pPr>
          </w:p>
        </w:tc>
      </w:tr>
      <w:tr w:rsidR="008513E0" w:rsidRPr="008513E0" w:rsidTr="008513E0">
        <w:trPr>
          <w:cantSplit/>
          <w:trHeight w:val="271"/>
          <w:jc w:val="right"/>
        </w:trPr>
        <w:tc>
          <w:tcPr>
            <w:tcW w:w="9229" w:type="dxa"/>
            <w:gridSpan w:val="6"/>
            <w:vAlign w:val="center"/>
          </w:tcPr>
          <w:p w:rsidR="008513E0" w:rsidRPr="008513E0" w:rsidRDefault="008513E0" w:rsidP="007564F3">
            <w:pPr>
              <w:spacing w:before="40" w:after="20"/>
              <w:ind w:right="-108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b/>
                <w:sz w:val="14"/>
                <w:szCs w:val="14"/>
                <w:lang w:val="en-US"/>
              </w:rPr>
              <w:t>AUDITORÍAS NO PROGRAMADAS</w:t>
            </w:r>
          </w:p>
        </w:tc>
      </w:tr>
      <w:tr w:rsidR="008513E0" w:rsidRPr="008513E0" w:rsidTr="008513E0">
        <w:trPr>
          <w:cantSplit/>
          <w:trHeight w:val="750"/>
          <w:jc w:val="right"/>
        </w:trPr>
        <w:tc>
          <w:tcPr>
            <w:tcW w:w="5101" w:type="dxa"/>
            <w:vAlign w:val="center"/>
          </w:tcPr>
          <w:p w:rsidR="008513E0" w:rsidRPr="008513E0" w:rsidRDefault="008513E0" w:rsidP="007564F3">
            <w:pPr>
              <w:spacing w:before="40" w:after="20"/>
              <w:jc w:val="both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 xml:space="preserve">Relevamiento de Información sobre el cumplimiento de las Resoluciones N° CGE/112/2022 y N° CGE/114/2022 ambas de fecha 21 de diciembre de 2022 </w:t>
            </w:r>
          </w:p>
        </w:tc>
        <w:tc>
          <w:tcPr>
            <w:tcW w:w="1134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2" w:right="-92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IAI/PSCU/05/2025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8" w:right="-10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30/06/25</w:t>
            </w:r>
          </w:p>
        </w:tc>
        <w:tc>
          <w:tcPr>
            <w:tcW w:w="709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25" w:right="-77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Emitido</w:t>
            </w:r>
          </w:p>
        </w:tc>
        <w:tc>
          <w:tcPr>
            <w:tcW w:w="850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8" w:right="-1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PSCU/UAI-039/25</w:t>
            </w:r>
          </w:p>
        </w:tc>
        <w:tc>
          <w:tcPr>
            <w:tcW w:w="726" w:type="dxa"/>
            <w:vAlign w:val="center"/>
          </w:tcPr>
          <w:p w:rsidR="008513E0" w:rsidRPr="008513E0" w:rsidRDefault="008513E0" w:rsidP="007564F3">
            <w:pPr>
              <w:spacing w:before="40" w:after="20"/>
              <w:ind w:left="-108" w:right="-108"/>
              <w:jc w:val="center"/>
              <w:rPr>
                <w:rFonts w:cs="Calibri"/>
                <w:sz w:val="14"/>
                <w:szCs w:val="14"/>
              </w:rPr>
            </w:pPr>
            <w:r w:rsidRPr="008513E0">
              <w:rPr>
                <w:rFonts w:cs="Calibri"/>
                <w:sz w:val="14"/>
                <w:szCs w:val="14"/>
              </w:rPr>
              <w:t>30/06/25</w:t>
            </w:r>
          </w:p>
        </w:tc>
      </w:tr>
    </w:tbl>
    <w:p w:rsidR="0083383A" w:rsidRPr="0015098B" w:rsidRDefault="0083383A" w:rsidP="008513E0">
      <w:pPr>
        <w:widowControl w:val="0"/>
        <w:overflowPunct w:val="0"/>
        <w:autoSpaceDE w:val="0"/>
        <w:autoSpaceDN w:val="0"/>
        <w:adjustRightInd w:val="0"/>
        <w:spacing w:before="60" w:after="0" w:line="271" w:lineRule="auto"/>
        <w:ind w:left="142" w:hanging="142"/>
        <w:jc w:val="both"/>
        <w:textAlignment w:val="baseline"/>
        <w:rPr>
          <w:rFonts w:cs="Calibri"/>
          <w:sz w:val="11"/>
          <w:szCs w:val="11"/>
        </w:rPr>
      </w:pPr>
      <w:r w:rsidRPr="0015098B">
        <w:rPr>
          <w:rFonts w:cs="Calibri"/>
          <w:b/>
          <w:sz w:val="11"/>
          <w:szCs w:val="11"/>
        </w:rPr>
        <w:t xml:space="preserve">* </w:t>
      </w:r>
      <w:r w:rsidRPr="0015098B">
        <w:rPr>
          <w:rFonts w:cs="Calibri"/>
          <w:b/>
          <w:sz w:val="11"/>
          <w:szCs w:val="11"/>
        </w:rPr>
        <w:tab/>
      </w:r>
      <w:r w:rsidRPr="0015098B">
        <w:rPr>
          <w:rFonts w:cs="Calibri"/>
          <w:sz w:val="11"/>
          <w:szCs w:val="11"/>
        </w:rPr>
        <w:t xml:space="preserve">Informe remitido solo a la Máxima Autoridad Ejecutiva de la Entidad </w:t>
      </w:r>
    </w:p>
    <w:p w:rsidR="00E94510" w:rsidRDefault="0083383A" w:rsidP="008513E0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142" w:hanging="142"/>
        <w:jc w:val="both"/>
        <w:textAlignment w:val="baseline"/>
        <w:rPr>
          <w:rFonts w:cs="Calibri"/>
          <w:sz w:val="10"/>
          <w:szCs w:val="10"/>
        </w:rPr>
      </w:pPr>
      <w:proofErr w:type="gramStart"/>
      <w:r w:rsidRPr="0015098B">
        <w:rPr>
          <w:rFonts w:cs="Calibri"/>
          <w:sz w:val="11"/>
          <w:szCs w:val="11"/>
        </w:rPr>
        <w:t xml:space="preserve">¥ </w:t>
      </w:r>
      <w:r w:rsidRPr="0015098B">
        <w:rPr>
          <w:rFonts w:cs="Calibri"/>
          <w:sz w:val="11"/>
          <w:szCs w:val="11"/>
        </w:rPr>
        <w:tab/>
        <w:t>Esta</w:t>
      </w:r>
      <w:proofErr w:type="gramEnd"/>
      <w:r w:rsidRPr="0015098B">
        <w:rPr>
          <w:rFonts w:cs="Calibri"/>
          <w:sz w:val="11"/>
          <w:szCs w:val="11"/>
        </w:rPr>
        <w:t xml:space="preserve"> previsto ej</w:t>
      </w:r>
      <w:r w:rsidR="008513E0">
        <w:rPr>
          <w:rFonts w:cs="Calibri"/>
          <w:sz w:val="11"/>
          <w:szCs w:val="11"/>
        </w:rPr>
        <w:t>ecutarse durante la gestión 2025</w:t>
      </w:r>
      <w:r w:rsidRPr="0015098B">
        <w:rPr>
          <w:rFonts w:cs="Calibri"/>
          <w:sz w:val="11"/>
          <w:szCs w:val="11"/>
        </w:rPr>
        <w:t xml:space="preserve"> (de abril a diciembre) en consideración de las </w:t>
      </w:r>
      <w:r w:rsidRPr="0015098B">
        <w:rPr>
          <w:rFonts w:cs="Calibri"/>
          <w:i/>
          <w:sz w:val="11"/>
          <w:szCs w:val="11"/>
        </w:rPr>
        <w:t>“Normas de Auditoría de Confiabilidad de los Registros y Estados Financieros”</w:t>
      </w:r>
      <w:r w:rsidRPr="0015098B">
        <w:rPr>
          <w:rFonts w:cs="Calibri"/>
          <w:sz w:val="11"/>
          <w:szCs w:val="11"/>
        </w:rPr>
        <w:t xml:space="preserve"> aprobadas mediante Resolución: CGE/073/2021 en fecha 28 de octubre de 2021</w:t>
      </w:r>
    </w:p>
    <w:p w:rsidR="008513E0" w:rsidRDefault="008513E0" w:rsidP="0015098B">
      <w:pPr>
        <w:widowControl w:val="0"/>
        <w:overflowPunct w:val="0"/>
        <w:autoSpaceDE w:val="0"/>
        <w:autoSpaceDN w:val="0"/>
        <w:adjustRightInd w:val="0"/>
        <w:spacing w:before="240" w:after="0" w:line="271" w:lineRule="auto"/>
        <w:ind w:left="284" w:hanging="283"/>
        <w:jc w:val="both"/>
        <w:textAlignment w:val="baseline"/>
        <w:rPr>
          <w:sz w:val="14"/>
        </w:rPr>
      </w:pPr>
    </w:p>
    <w:p w:rsidR="009758AF" w:rsidRPr="00E94510" w:rsidRDefault="004E6664" w:rsidP="0015098B">
      <w:pPr>
        <w:widowControl w:val="0"/>
        <w:overflowPunct w:val="0"/>
        <w:autoSpaceDE w:val="0"/>
        <w:autoSpaceDN w:val="0"/>
        <w:adjustRightInd w:val="0"/>
        <w:spacing w:before="240" w:after="0" w:line="271" w:lineRule="auto"/>
        <w:ind w:left="284" w:hanging="283"/>
        <w:jc w:val="both"/>
        <w:textAlignment w:val="baseline"/>
        <w:rPr>
          <w:rFonts w:cs="Calibri"/>
          <w:sz w:val="10"/>
          <w:szCs w:val="10"/>
        </w:rPr>
      </w:pPr>
      <w:r w:rsidRPr="00D24E46">
        <w:rPr>
          <w:sz w:val="14"/>
        </w:rPr>
        <w:t xml:space="preserve">Sucre, </w:t>
      </w:r>
      <w:r w:rsidR="00737120" w:rsidRPr="00D24E46">
        <w:rPr>
          <w:sz w:val="14"/>
        </w:rPr>
        <w:t>julio</w:t>
      </w:r>
      <w:r w:rsidR="00F764D0" w:rsidRPr="00D24E46">
        <w:rPr>
          <w:sz w:val="14"/>
        </w:rPr>
        <w:t xml:space="preserve"> </w:t>
      </w:r>
      <w:r w:rsidR="008513E0">
        <w:rPr>
          <w:sz w:val="14"/>
        </w:rPr>
        <w:t>de 2025</w:t>
      </w:r>
    </w:p>
    <w:sectPr w:rsidR="009758AF" w:rsidRPr="00E94510" w:rsidSect="0015098B">
      <w:headerReference w:type="default" r:id="rId7"/>
      <w:pgSz w:w="12240" w:h="15840" w:code="1"/>
      <w:pgMar w:top="1701" w:right="1418" w:bottom="130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EB" w:rsidRDefault="006402EB" w:rsidP="00463ECD">
      <w:pPr>
        <w:spacing w:after="0" w:line="240" w:lineRule="auto"/>
      </w:pPr>
      <w:r>
        <w:separator/>
      </w:r>
    </w:p>
  </w:endnote>
  <w:endnote w:type="continuationSeparator" w:id="0">
    <w:p w:rsidR="006402EB" w:rsidRDefault="006402EB" w:rsidP="0046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EB" w:rsidRDefault="006402EB" w:rsidP="00463ECD">
      <w:pPr>
        <w:spacing w:after="0" w:line="240" w:lineRule="auto"/>
      </w:pPr>
      <w:r>
        <w:separator/>
      </w:r>
    </w:p>
  </w:footnote>
  <w:footnote w:type="continuationSeparator" w:id="0">
    <w:p w:rsidR="006402EB" w:rsidRDefault="006402EB" w:rsidP="0046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7C" w:rsidRDefault="00A5627C" w:rsidP="00A5627C">
    <w:pPr>
      <w:pStyle w:val="Piedepgina"/>
      <w:rPr>
        <w:b/>
        <w:sz w:val="18"/>
        <w:szCs w:val="18"/>
        <w:lang w:val="es-ES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55680" behindDoc="0" locked="0" layoutInCell="1" allowOverlap="1" wp14:anchorId="5B16A101" wp14:editId="0E2B7916">
          <wp:simplePos x="0" y="0"/>
          <wp:positionH relativeFrom="column">
            <wp:posOffset>40856</wp:posOffset>
          </wp:positionH>
          <wp:positionV relativeFrom="paragraph">
            <wp:posOffset>-207286</wp:posOffset>
          </wp:positionV>
          <wp:extent cx="405442" cy="311674"/>
          <wp:effectExtent l="0" t="0" r="0" b="0"/>
          <wp:wrapNone/>
          <wp:docPr id="1" name="Imagen 1" descr="H:\LOGO PSCU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 PSCU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2" cy="311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837AFA" wp14:editId="561187AF">
              <wp:simplePos x="0" y="0"/>
              <wp:positionH relativeFrom="column">
                <wp:posOffset>-63500</wp:posOffset>
              </wp:positionH>
              <wp:positionV relativeFrom="paragraph">
                <wp:posOffset>126365</wp:posOffset>
              </wp:positionV>
              <wp:extent cx="2419985" cy="323850"/>
              <wp:effectExtent l="0" t="0" r="18415" b="190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3ECD" w:rsidRPr="00A32F1E" w:rsidRDefault="00463ECD" w:rsidP="00463ECD">
                          <w:pPr>
                            <w:spacing w:after="0" w:line="240" w:lineRule="auto"/>
                            <w:rPr>
                              <w:rFonts w:ascii="Bodoni MT" w:eastAsia="BatangChe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</w:pPr>
                          <w:r w:rsidRPr="00A32F1E">
                            <w:rPr>
                              <w:rFonts w:ascii="Bodoni MT" w:eastAsia="BatangChe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  <w:t>PROYECTO SUCRE CIUDAD UNIVERSITARIA</w:t>
                          </w:r>
                        </w:p>
                        <w:p w:rsidR="00463ECD" w:rsidRPr="00A32F1E" w:rsidRDefault="00463ECD" w:rsidP="00463ECD">
                          <w:pPr>
                            <w:spacing w:after="0" w:line="240" w:lineRule="auto"/>
                            <w:rPr>
                              <w:rFonts w:ascii="Bodoni MT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</w:pPr>
                          <w:r w:rsidRPr="00A32F1E">
                            <w:rPr>
                              <w:rFonts w:ascii="Bodoni MT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  <w:t>UNIDAD DE AUDITORIA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37AF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pt;margin-top:9.95pt;width:190.5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" strokecolor="white [3212]">
              <v:textbox>
                <w:txbxContent>
                  <w:p w:rsidR="00463ECD" w:rsidRPr="00A32F1E" w:rsidRDefault="00463ECD" w:rsidP="00463ECD">
                    <w:pPr>
                      <w:spacing w:after="0" w:line="240" w:lineRule="auto"/>
                      <w:rPr>
                        <w:rFonts w:ascii="Bodoni MT" w:eastAsia="BatangChe" w:hAnsi="Bodoni MT" w:cs="Andalus"/>
                        <w:b/>
                        <w:sz w:val="14"/>
                        <w:szCs w:val="14"/>
                        <w:lang w:val="es-ES"/>
                      </w:rPr>
                    </w:pPr>
                    <w:r w:rsidRPr="00A32F1E">
                      <w:rPr>
                        <w:rFonts w:ascii="Bodoni MT" w:eastAsia="BatangChe" w:hAnsi="Bodoni MT" w:cs="Andalus"/>
                        <w:b/>
                        <w:sz w:val="14"/>
                        <w:szCs w:val="14"/>
                        <w:lang w:val="es-ES"/>
                      </w:rPr>
                      <w:t>PROYECTO SUCRE CIUDAD UNIVERSITARIA</w:t>
                    </w:r>
                  </w:p>
                  <w:p w:rsidR="00463ECD" w:rsidRPr="00A32F1E" w:rsidRDefault="00463ECD" w:rsidP="00463ECD">
                    <w:pPr>
                      <w:spacing w:after="0" w:line="240" w:lineRule="auto"/>
                      <w:rPr>
                        <w:rFonts w:ascii="Bodoni MT" w:hAnsi="Bodoni MT" w:cs="Andalus"/>
                        <w:b/>
                        <w:sz w:val="14"/>
                        <w:szCs w:val="14"/>
                        <w:lang w:val="es-ES"/>
                      </w:rPr>
                    </w:pPr>
                    <w:r w:rsidRPr="00A32F1E">
                      <w:rPr>
                        <w:rFonts w:ascii="Bodoni MT" w:hAnsi="Bodoni MT" w:cs="Andalus"/>
                        <w:b/>
                        <w:sz w:val="14"/>
                        <w:szCs w:val="14"/>
                        <w:lang w:val="es-ES"/>
                      </w:rPr>
                      <w:t>UNIDAD DE AUDITORIA INTERNA</w:t>
                    </w:r>
                  </w:p>
                </w:txbxContent>
              </v:textbox>
            </v:shape>
          </w:pict>
        </mc:Fallback>
      </mc:AlternateContent>
    </w:r>
  </w:p>
  <w:p w:rsidR="00A5627C" w:rsidRDefault="00A5627C" w:rsidP="00A5627C">
    <w:pPr>
      <w:pStyle w:val="Piedepgina"/>
      <w:rPr>
        <w:b/>
        <w:sz w:val="18"/>
        <w:szCs w:val="18"/>
        <w:lang w:val="es-ES"/>
      </w:rPr>
    </w:pPr>
  </w:p>
  <w:p w:rsidR="00A5627C" w:rsidRPr="002754F3" w:rsidRDefault="00A5627C" w:rsidP="00463ECD">
    <w:pPr>
      <w:pStyle w:val="Piedepgina"/>
      <w:rPr>
        <w:sz w:val="14"/>
        <w:lang w:val="es-ES"/>
      </w:rPr>
    </w:pPr>
  </w:p>
  <w:p w:rsidR="00463ECD" w:rsidRDefault="00E84E19" w:rsidP="00A5627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38972C" wp14:editId="7E0C281B">
              <wp:simplePos x="0" y="0"/>
              <wp:positionH relativeFrom="column">
                <wp:posOffset>11430</wp:posOffset>
              </wp:positionH>
              <wp:positionV relativeFrom="paragraph">
                <wp:posOffset>68580</wp:posOffset>
              </wp:positionV>
              <wp:extent cx="5775960" cy="0"/>
              <wp:effectExtent l="11430" t="11430" r="13335" b="76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D7D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5.4pt;width:454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Q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B72"/>
    <w:multiLevelType w:val="hybridMultilevel"/>
    <w:tmpl w:val="7B26C7D2"/>
    <w:lvl w:ilvl="0" w:tplc="ED0C8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7047"/>
    <w:multiLevelType w:val="hybridMultilevel"/>
    <w:tmpl w:val="8EC0F01E"/>
    <w:lvl w:ilvl="0" w:tplc="869CAF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F1AA2"/>
    <w:multiLevelType w:val="hybridMultilevel"/>
    <w:tmpl w:val="14985AA2"/>
    <w:lvl w:ilvl="0" w:tplc="C1D460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FA1"/>
    <w:multiLevelType w:val="hybridMultilevel"/>
    <w:tmpl w:val="1B5014C8"/>
    <w:lvl w:ilvl="0" w:tplc="50507CA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86B66"/>
    <w:multiLevelType w:val="hybridMultilevel"/>
    <w:tmpl w:val="42DC7E68"/>
    <w:lvl w:ilvl="0" w:tplc="12F0C9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037D"/>
    <w:multiLevelType w:val="hybridMultilevel"/>
    <w:tmpl w:val="EF624BD4"/>
    <w:lvl w:ilvl="0" w:tplc="8B66465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  <w:sz w:val="24"/>
      </w:r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B327BF5"/>
    <w:multiLevelType w:val="hybridMultilevel"/>
    <w:tmpl w:val="6E10E886"/>
    <w:lvl w:ilvl="0" w:tplc="F4809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A4D76"/>
    <w:multiLevelType w:val="hybridMultilevel"/>
    <w:tmpl w:val="E8AA6848"/>
    <w:lvl w:ilvl="0" w:tplc="BC92C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E07F6"/>
    <w:multiLevelType w:val="hybridMultilevel"/>
    <w:tmpl w:val="21E229AE"/>
    <w:lvl w:ilvl="0" w:tplc="7A3CB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301F"/>
    <w:multiLevelType w:val="hybridMultilevel"/>
    <w:tmpl w:val="308A9EB2"/>
    <w:lvl w:ilvl="0" w:tplc="5AE2F1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7332C"/>
    <w:multiLevelType w:val="hybridMultilevel"/>
    <w:tmpl w:val="D91A7D02"/>
    <w:lvl w:ilvl="0" w:tplc="DB6C38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328C"/>
    <w:multiLevelType w:val="hybridMultilevel"/>
    <w:tmpl w:val="0E368604"/>
    <w:lvl w:ilvl="0" w:tplc="994EC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161F3"/>
    <w:multiLevelType w:val="hybridMultilevel"/>
    <w:tmpl w:val="F15AB528"/>
    <w:lvl w:ilvl="0" w:tplc="3446C4E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C37031F"/>
    <w:multiLevelType w:val="hybridMultilevel"/>
    <w:tmpl w:val="C86091E8"/>
    <w:lvl w:ilvl="0" w:tplc="E878C394">
      <w:start w:val="1"/>
      <w:numFmt w:val="non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1F6A936">
      <w:start w:val="1"/>
      <w:numFmt w:val="decimal"/>
      <w:lvlText w:val="%2."/>
      <w:lvlJc w:val="left"/>
      <w:pPr>
        <w:ind w:left="2517" w:hanging="87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C9E5904"/>
    <w:multiLevelType w:val="hybridMultilevel"/>
    <w:tmpl w:val="E12E303A"/>
    <w:lvl w:ilvl="0" w:tplc="52B4358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085C44"/>
    <w:multiLevelType w:val="hybridMultilevel"/>
    <w:tmpl w:val="CD3C229E"/>
    <w:lvl w:ilvl="0" w:tplc="DB6C385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24090E"/>
    <w:multiLevelType w:val="hybridMultilevel"/>
    <w:tmpl w:val="1AF8F718"/>
    <w:lvl w:ilvl="0" w:tplc="E27C67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A3E0C"/>
    <w:multiLevelType w:val="hybridMultilevel"/>
    <w:tmpl w:val="197AD3BA"/>
    <w:lvl w:ilvl="0" w:tplc="59848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D1AFC"/>
    <w:multiLevelType w:val="hybridMultilevel"/>
    <w:tmpl w:val="BB08BE18"/>
    <w:lvl w:ilvl="0" w:tplc="DB6C38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761CA"/>
    <w:multiLevelType w:val="hybridMultilevel"/>
    <w:tmpl w:val="C004CC62"/>
    <w:lvl w:ilvl="0" w:tplc="ABF8C8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51B79"/>
    <w:multiLevelType w:val="hybridMultilevel"/>
    <w:tmpl w:val="4FC83A0C"/>
    <w:lvl w:ilvl="0" w:tplc="39B68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95A6E"/>
    <w:multiLevelType w:val="hybridMultilevel"/>
    <w:tmpl w:val="E54C49B6"/>
    <w:lvl w:ilvl="0" w:tplc="332431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F43F8"/>
    <w:multiLevelType w:val="hybridMultilevel"/>
    <w:tmpl w:val="6540C444"/>
    <w:lvl w:ilvl="0" w:tplc="DDDCD56E">
      <w:start w:val="9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C7787"/>
    <w:multiLevelType w:val="hybridMultilevel"/>
    <w:tmpl w:val="3288DD02"/>
    <w:lvl w:ilvl="0" w:tplc="D310975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6510E6"/>
    <w:multiLevelType w:val="hybridMultilevel"/>
    <w:tmpl w:val="D35870BA"/>
    <w:lvl w:ilvl="0" w:tplc="59848E68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4F512B46"/>
    <w:multiLevelType w:val="hybridMultilevel"/>
    <w:tmpl w:val="84BCA06E"/>
    <w:lvl w:ilvl="0" w:tplc="0E7621D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B207D"/>
    <w:multiLevelType w:val="hybridMultilevel"/>
    <w:tmpl w:val="2F8C6438"/>
    <w:lvl w:ilvl="0" w:tplc="9C9222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43537"/>
    <w:multiLevelType w:val="hybridMultilevel"/>
    <w:tmpl w:val="1BC00AA4"/>
    <w:lvl w:ilvl="0" w:tplc="221016A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2BD6098"/>
    <w:multiLevelType w:val="hybridMultilevel"/>
    <w:tmpl w:val="6D14374E"/>
    <w:lvl w:ilvl="0" w:tplc="2BBC1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55FB0"/>
    <w:multiLevelType w:val="hybridMultilevel"/>
    <w:tmpl w:val="DB6A0A08"/>
    <w:lvl w:ilvl="0" w:tplc="4596F874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CE3A68"/>
    <w:multiLevelType w:val="hybridMultilevel"/>
    <w:tmpl w:val="DDD84230"/>
    <w:lvl w:ilvl="0" w:tplc="D7FA4B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B141A"/>
    <w:multiLevelType w:val="hybridMultilevel"/>
    <w:tmpl w:val="E6201E0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63B62"/>
    <w:multiLevelType w:val="hybridMultilevel"/>
    <w:tmpl w:val="C5BE9B32"/>
    <w:lvl w:ilvl="0" w:tplc="7B90B3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B6C4B"/>
    <w:multiLevelType w:val="hybridMultilevel"/>
    <w:tmpl w:val="E7544220"/>
    <w:lvl w:ilvl="0" w:tplc="AE8CCBB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536FD3"/>
    <w:multiLevelType w:val="hybridMultilevel"/>
    <w:tmpl w:val="C8E6C03C"/>
    <w:lvl w:ilvl="0" w:tplc="615CA2B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8080F"/>
    <w:multiLevelType w:val="hybridMultilevel"/>
    <w:tmpl w:val="CA42D0C2"/>
    <w:lvl w:ilvl="0" w:tplc="89CA89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6E2C6B19"/>
    <w:multiLevelType w:val="hybridMultilevel"/>
    <w:tmpl w:val="DCA65D7A"/>
    <w:lvl w:ilvl="0" w:tplc="AFBC2E7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E18F7"/>
    <w:multiLevelType w:val="hybridMultilevel"/>
    <w:tmpl w:val="61D6A73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85925"/>
    <w:multiLevelType w:val="hybridMultilevel"/>
    <w:tmpl w:val="38B85AE8"/>
    <w:lvl w:ilvl="0" w:tplc="DB6C38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D767F"/>
    <w:multiLevelType w:val="hybridMultilevel"/>
    <w:tmpl w:val="9FC610BE"/>
    <w:lvl w:ilvl="0" w:tplc="CB02BE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DF44EBF"/>
    <w:multiLevelType w:val="hybridMultilevel"/>
    <w:tmpl w:val="635C2E34"/>
    <w:lvl w:ilvl="0" w:tplc="A0C4F89E">
      <w:start w:val="2"/>
      <w:numFmt w:val="decimal"/>
      <w:lvlText w:val="%1"/>
      <w:lvlJc w:val="left"/>
      <w:pPr>
        <w:ind w:left="540" w:hanging="360"/>
      </w:pPr>
      <w:rPr>
        <w:rFonts w:hint="default"/>
        <w:u w:val="single"/>
      </w:rPr>
    </w:lvl>
    <w:lvl w:ilvl="1" w:tplc="400A0019" w:tentative="1">
      <w:start w:val="1"/>
      <w:numFmt w:val="lowerLetter"/>
      <w:lvlText w:val="%2."/>
      <w:lvlJc w:val="left"/>
      <w:pPr>
        <w:ind w:left="1260" w:hanging="360"/>
      </w:pPr>
    </w:lvl>
    <w:lvl w:ilvl="2" w:tplc="400A001B" w:tentative="1">
      <w:start w:val="1"/>
      <w:numFmt w:val="lowerRoman"/>
      <w:lvlText w:val="%3."/>
      <w:lvlJc w:val="right"/>
      <w:pPr>
        <w:ind w:left="1980" w:hanging="180"/>
      </w:pPr>
    </w:lvl>
    <w:lvl w:ilvl="3" w:tplc="400A000F" w:tentative="1">
      <w:start w:val="1"/>
      <w:numFmt w:val="decimal"/>
      <w:lvlText w:val="%4."/>
      <w:lvlJc w:val="left"/>
      <w:pPr>
        <w:ind w:left="2700" w:hanging="360"/>
      </w:pPr>
    </w:lvl>
    <w:lvl w:ilvl="4" w:tplc="400A0019" w:tentative="1">
      <w:start w:val="1"/>
      <w:numFmt w:val="lowerLetter"/>
      <w:lvlText w:val="%5."/>
      <w:lvlJc w:val="left"/>
      <w:pPr>
        <w:ind w:left="3420" w:hanging="360"/>
      </w:pPr>
    </w:lvl>
    <w:lvl w:ilvl="5" w:tplc="400A001B" w:tentative="1">
      <w:start w:val="1"/>
      <w:numFmt w:val="lowerRoman"/>
      <w:lvlText w:val="%6."/>
      <w:lvlJc w:val="right"/>
      <w:pPr>
        <w:ind w:left="4140" w:hanging="180"/>
      </w:pPr>
    </w:lvl>
    <w:lvl w:ilvl="6" w:tplc="400A000F" w:tentative="1">
      <w:start w:val="1"/>
      <w:numFmt w:val="decimal"/>
      <w:lvlText w:val="%7."/>
      <w:lvlJc w:val="left"/>
      <w:pPr>
        <w:ind w:left="4860" w:hanging="360"/>
      </w:pPr>
    </w:lvl>
    <w:lvl w:ilvl="7" w:tplc="400A0019" w:tentative="1">
      <w:start w:val="1"/>
      <w:numFmt w:val="lowerLetter"/>
      <w:lvlText w:val="%8."/>
      <w:lvlJc w:val="left"/>
      <w:pPr>
        <w:ind w:left="5580" w:hanging="360"/>
      </w:pPr>
    </w:lvl>
    <w:lvl w:ilvl="8" w:tplc="40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7"/>
  </w:num>
  <w:num w:numId="2">
    <w:abstractNumId w:val="7"/>
  </w:num>
  <w:num w:numId="3">
    <w:abstractNumId w:val="5"/>
  </w:num>
  <w:num w:numId="4">
    <w:abstractNumId w:val="22"/>
  </w:num>
  <w:num w:numId="5">
    <w:abstractNumId w:val="20"/>
  </w:num>
  <w:num w:numId="6">
    <w:abstractNumId w:val="40"/>
  </w:num>
  <w:num w:numId="7">
    <w:abstractNumId w:val="1"/>
  </w:num>
  <w:num w:numId="8">
    <w:abstractNumId w:val="2"/>
  </w:num>
  <w:num w:numId="9">
    <w:abstractNumId w:val="25"/>
  </w:num>
  <w:num w:numId="10">
    <w:abstractNumId w:val="29"/>
  </w:num>
  <w:num w:numId="11">
    <w:abstractNumId w:val="34"/>
  </w:num>
  <w:num w:numId="12">
    <w:abstractNumId w:val="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30"/>
  </w:num>
  <w:num w:numId="18">
    <w:abstractNumId w:val="6"/>
  </w:num>
  <w:num w:numId="19">
    <w:abstractNumId w:val="32"/>
  </w:num>
  <w:num w:numId="20">
    <w:abstractNumId w:val="21"/>
  </w:num>
  <w:num w:numId="21">
    <w:abstractNumId w:val="36"/>
  </w:num>
  <w:num w:numId="22">
    <w:abstractNumId w:val="19"/>
  </w:num>
  <w:num w:numId="23">
    <w:abstractNumId w:val="26"/>
  </w:num>
  <w:num w:numId="24">
    <w:abstractNumId w:val="0"/>
  </w:num>
  <w:num w:numId="25">
    <w:abstractNumId w:val="35"/>
  </w:num>
  <w:num w:numId="26">
    <w:abstractNumId w:val="27"/>
  </w:num>
  <w:num w:numId="27">
    <w:abstractNumId w:val="23"/>
  </w:num>
  <w:num w:numId="28">
    <w:abstractNumId w:val="14"/>
  </w:num>
  <w:num w:numId="29">
    <w:abstractNumId w:val="31"/>
  </w:num>
  <w:num w:numId="30">
    <w:abstractNumId w:val="9"/>
  </w:num>
  <w:num w:numId="31">
    <w:abstractNumId w:val="8"/>
  </w:num>
  <w:num w:numId="32">
    <w:abstractNumId w:val="28"/>
  </w:num>
  <w:num w:numId="33">
    <w:abstractNumId w:val="24"/>
  </w:num>
  <w:num w:numId="34">
    <w:abstractNumId w:val="39"/>
  </w:num>
  <w:num w:numId="35">
    <w:abstractNumId w:val="17"/>
  </w:num>
  <w:num w:numId="36">
    <w:abstractNumId w:val="10"/>
  </w:num>
  <w:num w:numId="37">
    <w:abstractNumId w:val="15"/>
  </w:num>
  <w:num w:numId="38">
    <w:abstractNumId w:val="18"/>
  </w:num>
  <w:num w:numId="39">
    <w:abstractNumId w:val="38"/>
  </w:num>
  <w:num w:numId="40">
    <w:abstractNumId w:val="3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9D"/>
    <w:rsid w:val="0001155E"/>
    <w:rsid w:val="0001368B"/>
    <w:rsid w:val="00020A4C"/>
    <w:rsid w:val="0003046C"/>
    <w:rsid w:val="0004634B"/>
    <w:rsid w:val="00057AD1"/>
    <w:rsid w:val="00063222"/>
    <w:rsid w:val="000969AB"/>
    <w:rsid w:val="000B7666"/>
    <w:rsid w:val="000D4945"/>
    <w:rsid w:val="000F21F9"/>
    <w:rsid w:val="00110888"/>
    <w:rsid w:val="001265EB"/>
    <w:rsid w:val="0015098B"/>
    <w:rsid w:val="0015462C"/>
    <w:rsid w:val="00156CBA"/>
    <w:rsid w:val="0016032B"/>
    <w:rsid w:val="00166730"/>
    <w:rsid w:val="00187586"/>
    <w:rsid w:val="001D350E"/>
    <w:rsid w:val="001D439E"/>
    <w:rsid w:val="001E0FE1"/>
    <w:rsid w:val="001E6EB7"/>
    <w:rsid w:val="00216C57"/>
    <w:rsid w:val="00227A45"/>
    <w:rsid w:val="002435CA"/>
    <w:rsid w:val="00243922"/>
    <w:rsid w:val="00262FC7"/>
    <w:rsid w:val="0027369B"/>
    <w:rsid w:val="002754F3"/>
    <w:rsid w:val="00291402"/>
    <w:rsid w:val="002C57A1"/>
    <w:rsid w:val="002F3AC7"/>
    <w:rsid w:val="00310A2B"/>
    <w:rsid w:val="00315CDC"/>
    <w:rsid w:val="00351C33"/>
    <w:rsid w:val="00366672"/>
    <w:rsid w:val="00374714"/>
    <w:rsid w:val="00376698"/>
    <w:rsid w:val="0038257D"/>
    <w:rsid w:val="00387701"/>
    <w:rsid w:val="003C4C8A"/>
    <w:rsid w:val="004259D3"/>
    <w:rsid w:val="00435911"/>
    <w:rsid w:val="00463ECD"/>
    <w:rsid w:val="00476782"/>
    <w:rsid w:val="00480940"/>
    <w:rsid w:val="0048322E"/>
    <w:rsid w:val="004E6664"/>
    <w:rsid w:val="0050749A"/>
    <w:rsid w:val="0052459A"/>
    <w:rsid w:val="00592C34"/>
    <w:rsid w:val="005D114B"/>
    <w:rsid w:val="005D1CC5"/>
    <w:rsid w:val="005D77E1"/>
    <w:rsid w:val="005E7ADF"/>
    <w:rsid w:val="005F7DEC"/>
    <w:rsid w:val="006402EB"/>
    <w:rsid w:val="00642F50"/>
    <w:rsid w:val="0065471C"/>
    <w:rsid w:val="006826AE"/>
    <w:rsid w:val="006830FE"/>
    <w:rsid w:val="006E18EE"/>
    <w:rsid w:val="006F493D"/>
    <w:rsid w:val="007025B1"/>
    <w:rsid w:val="00706F15"/>
    <w:rsid w:val="00724EEC"/>
    <w:rsid w:val="00730961"/>
    <w:rsid w:val="00731E08"/>
    <w:rsid w:val="00737120"/>
    <w:rsid w:val="0074212C"/>
    <w:rsid w:val="00753289"/>
    <w:rsid w:val="0079391B"/>
    <w:rsid w:val="007943D9"/>
    <w:rsid w:val="00795993"/>
    <w:rsid w:val="00796067"/>
    <w:rsid w:val="007B1AE3"/>
    <w:rsid w:val="007D3F78"/>
    <w:rsid w:val="007E470B"/>
    <w:rsid w:val="007F6431"/>
    <w:rsid w:val="00803905"/>
    <w:rsid w:val="0083383A"/>
    <w:rsid w:val="00837812"/>
    <w:rsid w:val="008513E0"/>
    <w:rsid w:val="00864ECC"/>
    <w:rsid w:val="00867A09"/>
    <w:rsid w:val="00893532"/>
    <w:rsid w:val="008B1F84"/>
    <w:rsid w:val="00901BF5"/>
    <w:rsid w:val="00947462"/>
    <w:rsid w:val="009520E6"/>
    <w:rsid w:val="009758AF"/>
    <w:rsid w:val="00980EC5"/>
    <w:rsid w:val="009C5573"/>
    <w:rsid w:val="009C5C9C"/>
    <w:rsid w:val="009C6DCB"/>
    <w:rsid w:val="00A174B6"/>
    <w:rsid w:val="00A22C52"/>
    <w:rsid w:val="00A5627C"/>
    <w:rsid w:val="00A70FC8"/>
    <w:rsid w:val="00A76110"/>
    <w:rsid w:val="00A928AE"/>
    <w:rsid w:val="00AA1BDF"/>
    <w:rsid w:val="00AB0595"/>
    <w:rsid w:val="00AE38FF"/>
    <w:rsid w:val="00AF2D4F"/>
    <w:rsid w:val="00B10AA8"/>
    <w:rsid w:val="00B16A76"/>
    <w:rsid w:val="00B24DB1"/>
    <w:rsid w:val="00BA59CF"/>
    <w:rsid w:val="00BB3712"/>
    <w:rsid w:val="00BE4DBF"/>
    <w:rsid w:val="00BF28B3"/>
    <w:rsid w:val="00C40AE1"/>
    <w:rsid w:val="00C6149D"/>
    <w:rsid w:val="00C75175"/>
    <w:rsid w:val="00C94E6D"/>
    <w:rsid w:val="00CD3681"/>
    <w:rsid w:val="00CF2C0D"/>
    <w:rsid w:val="00D10F60"/>
    <w:rsid w:val="00D22FE0"/>
    <w:rsid w:val="00D24E46"/>
    <w:rsid w:val="00D301EA"/>
    <w:rsid w:val="00D37B87"/>
    <w:rsid w:val="00D4368E"/>
    <w:rsid w:val="00D57CD7"/>
    <w:rsid w:val="00D93DBD"/>
    <w:rsid w:val="00DA33B3"/>
    <w:rsid w:val="00DA727F"/>
    <w:rsid w:val="00DB2D0A"/>
    <w:rsid w:val="00DB5EB6"/>
    <w:rsid w:val="00DD40BE"/>
    <w:rsid w:val="00DE620A"/>
    <w:rsid w:val="00E13B77"/>
    <w:rsid w:val="00E21EBC"/>
    <w:rsid w:val="00E258AF"/>
    <w:rsid w:val="00E53241"/>
    <w:rsid w:val="00E65E51"/>
    <w:rsid w:val="00E7065E"/>
    <w:rsid w:val="00E84E19"/>
    <w:rsid w:val="00E94510"/>
    <w:rsid w:val="00EA2E57"/>
    <w:rsid w:val="00EA7975"/>
    <w:rsid w:val="00EC12D0"/>
    <w:rsid w:val="00ED13E6"/>
    <w:rsid w:val="00ED5533"/>
    <w:rsid w:val="00EF3010"/>
    <w:rsid w:val="00F022F9"/>
    <w:rsid w:val="00F255D9"/>
    <w:rsid w:val="00F27526"/>
    <w:rsid w:val="00F31BBA"/>
    <w:rsid w:val="00F41F6C"/>
    <w:rsid w:val="00F464AE"/>
    <w:rsid w:val="00F764D0"/>
    <w:rsid w:val="00F80904"/>
    <w:rsid w:val="00F82E76"/>
    <w:rsid w:val="00F93493"/>
    <w:rsid w:val="00FA5353"/>
    <w:rsid w:val="00F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3CBFA33-C828-4637-80CD-B25EBD75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2FC7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7025B1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7025B1"/>
    <w:rPr>
      <w:rFonts w:ascii="Calibri" w:eastAsia="Times New Roman" w:hAnsi="Calibri" w:cs="Times New Roman"/>
      <w:lang w:eastAsia="es-BO"/>
    </w:rPr>
  </w:style>
  <w:style w:type="paragraph" w:styleId="Encabezado">
    <w:name w:val="header"/>
    <w:basedOn w:val="Normal"/>
    <w:link w:val="EncabezadoCar"/>
    <w:uiPriority w:val="99"/>
    <w:unhideWhenUsed/>
    <w:rsid w:val="00463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ECD"/>
  </w:style>
  <w:style w:type="table" w:styleId="Tablaconcuadrcula">
    <w:name w:val="Table Grid"/>
    <w:basedOn w:val="Tablanormal"/>
    <w:uiPriority w:val="59"/>
    <w:rsid w:val="00A562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Cuenta Microsoft</cp:lastModifiedBy>
  <cp:revision>33</cp:revision>
  <cp:lastPrinted>2025-07-28T18:48:00Z</cp:lastPrinted>
  <dcterms:created xsi:type="dcterms:W3CDTF">2013-07-18T18:51:00Z</dcterms:created>
  <dcterms:modified xsi:type="dcterms:W3CDTF">2025-07-28T18:48:00Z</dcterms:modified>
</cp:coreProperties>
</file>